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14CD1" w14:textId="77777777" w:rsidR="00D445B4" w:rsidRDefault="00D445B4" w:rsidP="00D445B4">
      <w:pPr>
        <w:pStyle w:val="Bezmezer"/>
        <w:jc w:val="right"/>
        <w:rPr>
          <w:b/>
          <w:bCs/>
          <w:szCs w:val="22"/>
          <w:u w:val="single"/>
        </w:rPr>
      </w:pPr>
      <w:r>
        <w:rPr>
          <w:b/>
          <w:bCs/>
        </w:rPr>
        <w:t>TISKOVÁ ZPRÁVA</w:t>
      </w:r>
    </w:p>
    <w:p w14:paraId="4CC14B5B" w14:textId="05063437" w:rsidR="00DE1791" w:rsidRPr="00B819F3" w:rsidRDefault="00DE1791" w:rsidP="00DE1791">
      <w:pPr>
        <w:pStyle w:val="Nazev"/>
        <w:jc w:val="center"/>
      </w:pPr>
      <w:r w:rsidRPr="00B819F3">
        <w:t xml:space="preserve">Výnosy Colt CZ Group SE vzrostly </w:t>
      </w:r>
      <w:r w:rsidR="00C024F5" w:rsidRPr="00B819F3">
        <w:t xml:space="preserve">oproti prvnímu čtvrtletí roku </w:t>
      </w:r>
      <w:r w:rsidRPr="00B819F3">
        <w:t>o 27,7 procenta</w:t>
      </w:r>
    </w:p>
    <w:p w14:paraId="37DFCA46" w14:textId="154E8FF1" w:rsidR="004D585B" w:rsidRPr="00FC55FA" w:rsidRDefault="003036C3" w:rsidP="00FC55FA">
      <w:r w:rsidRPr="7DCF7970">
        <w:rPr>
          <w:b/>
          <w:bCs/>
        </w:rPr>
        <w:t>Praha (</w:t>
      </w:r>
      <w:r w:rsidR="00B24395">
        <w:rPr>
          <w:b/>
          <w:bCs/>
        </w:rPr>
        <w:t>19</w:t>
      </w:r>
      <w:r w:rsidR="0099143C" w:rsidRPr="7DCF7970">
        <w:rPr>
          <w:b/>
          <w:bCs/>
        </w:rPr>
        <w:t>. září 202</w:t>
      </w:r>
      <w:r w:rsidR="00B24395">
        <w:rPr>
          <w:b/>
          <w:bCs/>
        </w:rPr>
        <w:t>3</w:t>
      </w:r>
      <w:r w:rsidR="0099143C" w:rsidRPr="7DCF7970">
        <w:rPr>
          <w:b/>
          <w:bCs/>
        </w:rPr>
        <w:t>)</w:t>
      </w:r>
      <w:r w:rsidR="0099143C">
        <w:t xml:space="preserve"> — </w:t>
      </w:r>
      <w:r w:rsidR="00C873EF">
        <w:t xml:space="preserve">Colt CZ Group SE (dále jen „Colt CZ“ nebo „Společnost“ a společně se svými dceřinými společnostmi „Skupina“) </w:t>
      </w:r>
      <w:r w:rsidR="28A8FCA9">
        <w:t>dnes zveřejnila výsledky hospodaření za první pololetí roku 2023. V</w:t>
      </w:r>
      <w:r w:rsidR="00B24395">
        <w:t>ýnosy</w:t>
      </w:r>
      <w:bookmarkStart w:id="0" w:name="_Hlk145596110"/>
      <w:r w:rsidR="00B24395">
        <w:t xml:space="preserve"> za 2. čtvrtletí letošního roku byly ve srovnání za stejné období minulého roku o 10,1 % vyšší.</w:t>
      </w:r>
      <w:r w:rsidR="005A2D01">
        <w:t xml:space="preserve"> </w:t>
      </w:r>
      <w:bookmarkEnd w:id="0"/>
      <w:r w:rsidR="00B24395">
        <w:t>V</w:t>
      </w:r>
      <w:r w:rsidR="00B24395" w:rsidRPr="00B24395">
        <w:t>ýnosy ve druhém čtvrtletí 2023 vzrostly oproti prvnímu čtvrtletí 2023 o 27,7 %</w:t>
      </w:r>
      <w:r w:rsidR="00B24395">
        <w:t xml:space="preserve">. </w:t>
      </w:r>
    </w:p>
    <w:p w14:paraId="138390BE" w14:textId="30B211AF" w:rsidR="00E3774A" w:rsidRDefault="00CE2EA4" w:rsidP="00CE2EA4">
      <w:pPr>
        <w:pStyle w:val="Odrazkaa1"/>
        <w:numPr>
          <w:ilvl w:val="0"/>
          <w:numId w:val="0"/>
        </w:numPr>
        <w:rPr>
          <w:b/>
          <w:bCs/>
        </w:rPr>
      </w:pPr>
      <w:r w:rsidRPr="00F533C5">
        <w:rPr>
          <w:b/>
          <w:bCs/>
        </w:rPr>
        <w:t>Klíčové finanční údaje za první pololetí roku 202</w:t>
      </w:r>
      <w:r w:rsidR="00B24395">
        <w:rPr>
          <w:b/>
          <w:bCs/>
        </w:rPr>
        <w:t>3</w:t>
      </w:r>
      <w:r w:rsidR="00F533C5" w:rsidRPr="00F533C5">
        <w:rPr>
          <w:b/>
          <w:bCs/>
        </w:rPr>
        <w:t>:</w:t>
      </w:r>
    </w:p>
    <w:p w14:paraId="575694EC" w14:textId="1692FA65" w:rsidR="00A01F55" w:rsidRPr="00A01F55" w:rsidRDefault="002B60FE" w:rsidP="003A7495">
      <w:pPr>
        <w:pStyle w:val="Odrazka1"/>
      </w:pPr>
      <w:r>
        <w:t>Výnosy Colt CZ v první polovině roku 202</w:t>
      </w:r>
      <w:r w:rsidR="00B24395">
        <w:t>3</w:t>
      </w:r>
      <w:r>
        <w:t xml:space="preserve"> dosáhly </w:t>
      </w:r>
      <w:r w:rsidR="00B24395">
        <w:t>6,9</w:t>
      </w:r>
      <w:r w:rsidR="00766696">
        <w:t xml:space="preserve"> </w:t>
      </w:r>
      <w:r w:rsidR="00CA7AA8">
        <w:t>miliard</w:t>
      </w:r>
      <w:r w:rsidR="3E56A0A7">
        <w:t>y</w:t>
      </w:r>
      <w:r w:rsidR="00CA7AA8">
        <w:t xml:space="preserve"> korun</w:t>
      </w:r>
      <w:r w:rsidR="0031AFE4">
        <w:t xml:space="preserve"> a</w:t>
      </w:r>
      <w:r w:rsidR="00CA7AA8">
        <w:t xml:space="preserve"> jedná se tak o</w:t>
      </w:r>
      <w:r w:rsidR="066D17B3">
        <w:t xml:space="preserve"> meziroční</w:t>
      </w:r>
      <w:r w:rsidR="00CA7AA8">
        <w:t xml:space="preserve"> </w:t>
      </w:r>
      <w:r w:rsidR="00B24395">
        <w:t>pokles</w:t>
      </w:r>
      <w:r w:rsidR="00CA7AA8">
        <w:t xml:space="preserve"> o </w:t>
      </w:r>
      <w:r w:rsidR="000670D6">
        <w:t>2</w:t>
      </w:r>
      <w:r w:rsidR="0000148F">
        <w:t>,</w:t>
      </w:r>
      <w:r w:rsidR="000670D6">
        <w:t>7</w:t>
      </w:r>
      <w:r w:rsidR="0000148F">
        <w:t xml:space="preserve"> %.</w:t>
      </w:r>
      <w:r w:rsidR="009F2FAE">
        <w:t xml:space="preserve"> </w:t>
      </w:r>
      <w:r w:rsidR="00A01F55" w:rsidRPr="00A01F55">
        <w:t>Důvodem byl</w:t>
      </w:r>
      <w:r w:rsidR="00D8351E">
        <w:t xml:space="preserve">y nižší prodeje v </w:t>
      </w:r>
      <w:r w:rsidR="00A01F55" w:rsidRPr="00A01F55">
        <w:t>první</w:t>
      </w:r>
      <w:r w:rsidR="00D8351E">
        <w:t>m</w:t>
      </w:r>
      <w:r w:rsidR="00A01F55" w:rsidRPr="00A01F55">
        <w:t xml:space="preserve"> čtvrtletí</w:t>
      </w:r>
      <w:r w:rsidR="00D8351E">
        <w:t xml:space="preserve"> letošního roku, </w:t>
      </w:r>
      <w:r w:rsidR="00A01F55" w:rsidRPr="00A01F55">
        <w:t>dopad silné koruny na přepočet výnosů z</w:t>
      </w:r>
      <w:r w:rsidR="00A01F55">
        <w:t> </w:t>
      </w:r>
      <w:r w:rsidR="00A01F55" w:rsidRPr="00A01F55">
        <w:t>cizích</w:t>
      </w:r>
      <w:r w:rsidR="00A01F55">
        <w:t xml:space="preserve"> </w:t>
      </w:r>
      <w:r w:rsidR="00A01F55" w:rsidRPr="00A01F55">
        <w:t>měn, a dále pokles některých produktových segmentů na komerčním trhu ve Spojených státech.</w:t>
      </w:r>
      <w:r w:rsidR="00A01F55">
        <w:t xml:space="preserve"> </w:t>
      </w:r>
      <w:r w:rsidR="00D8351E">
        <w:t>V</w:t>
      </w:r>
      <w:r w:rsidR="00A01F55" w:rsidRPr="00A01F55">
        <w:t>ýnosy ve druhém čtvrtletí 2023 vzrostly oproti prvnímu čtvrtletí 2023 o 27,7 % a oproti</w:t>
      </w:r>
      <w:r w:rsidR="00A01F55">
        <w:t xml:space="preserve"> </w:t>
      </w:r>
      <w:r w:rsidR="00A01F55" w:rsidRPr="00A01F55">
        <w:t>druhému čtvrtletí 2022 o 10,1 %.</w:t>
      </w:r>
    </w:p>
    <w:p w14:paraId="437E7DE2" w14:textId="6A295283" w:rsidR="00C01FE8" w:rsidRPr="00B819F3" w:rsidRDefault="00AB4595" w:rsidP="004A0B6E">
      <w:pPr>
        <w:pStyle w:val="Odrazka1"/>
        <w:rPr>
          <w:b/>
          <w:bCs/>
        </w:rPr>
      </w:pPr>
      <w:r w:rsidRPr="009F2FAE">
        <w:rPr>
          <w:rFonts w:eastAsiaTheme="minorEastAsia"/>
        </w:rPr>
        <w:t xml:space="preserve">Ukazatel </w:t>
      </w:r>
      <w:r w:rsidR="00C01FE8" w:rsidRPr="009F2FAE">
        <w:rPr>
          <w:rFonts w:eastAsiaTheme="minorEastAsia"/>
        </w:rPr>
        <w:t>EBITDA</w:t>
      </w:r>
      <w:r w:rsidRPr="009F2FAE">
        <w:rPr>
          <w:rFonts w:eastAsiaTheme="minorEastAsia"/>
        </w:rPr>
        <w:t xml:space="preserve"> </w:t>
      </w:r>
      <w:r w:rsidR="00C01FE8" w:rsidRPr="009F2FAE">
        <w:rPr>
          <w:rFonts w:eastAsiaTheme="minorEastAsia"/>
        </w:rPr>
        <w:t>očištěný o mimořádné vlivy za první</w:t>
      </w:r>
      <w:r w:rsidR="00560677" w:rsidRPr="009F2FAE">
        <w:rPr>
          <w:rFonts w:eastAsiaTheme="minorEastAsia"/>
        </w:rPr>
        <w:t>ch</w:t>
      </w:r>
      <w:r w:rsidR="00C01FE8" w:rsidRPr="009F2FAE">
        <w:rPr>
          <w:rFonts w:eastAsiaTheme="minorEastAsia"/>
        </w:rPr>
        <w:t xml:space="preserve"> šest měsíců letošního roku </w:t>
      </w:r>
      <w:r w:rsidR="009F2FAE" w:rsidRPr="009F2FAE">
        <w:rPr>
          <w:rFonts w:eastAsiaTheme="minorEastAsia"/>
        </w:rPr>
        <w:t>poklesl</w:t>
      </w:r>
      <w:r w:rsidR="00F4476E" w:rsidRPr="009F2FAE">
        <w:rPr>
          <w:rFonts w:eastAsiaTheme="minorEastAsia"/>
        </w:rPr>
        <w:t xml:space="preserve"> o </w:t>
      </w:r>
      <w:r w:rsidR="009F2FAE" w:rsidRPr="009F2FAE">
        <w:rPr>
          <w:rFonts w:eastAsiaTheme="minorEastAsia"/>
        </w:rPr>
        <w:t>18</w:t>
      </w:r>
      <w:r w:rsidR="00616D85" w:rsidRPr="009F2FAE">
        <w:rPr>
          <w:rFonts w:eastAsiaTheme="minorEastAsia"/>
        </w:rPr>
        <w:t>,</w:t>
      </w:r>
      <w:r w:rsidR="009F2FAE" w:rsidRPr="009F2FAE">
        <w:rPr>
          <w:rFonts w:eastAsiaTheme="minorEastAsia"/>
        </w:rPr>
        <w:t>4</w:t>
      </w:r>
      <w:r w:rsidR="00A10C75" w:rsidRPr="009F2FAE">
        <w:rPr>
          <w:rFonts w:eastAsiaTheme="minorEastAsia"/>
        </w:rPr>
        <w:t xml:space="preserve"> </w:t>
      </w:r>
      <w:r w:rsidR="00F4476E" w:rsidRPr="009F2FAE">
        <w:rPr>
          <w:rFonts w:eastAsiaTheme="minorEastAsia"/>
        </w:rPr>
        <w:t xml:space="preserve">% na </w:t>
      </w:r>
      <w:r w:rsidR="00C01FE8" w:rsidRPr="009F2FAE">
        <w:rPr>
          <w:rFonts w:eastAsiaTheme="minorEastAsia"/>
        </w:rPr>
        <w:t>1</w:t>
      </w:r>
      <w:r w:rsidR="00B42A27" w:rsidRPr="009F2FAE">
        <w:rPr>
          <w:rFonts w:eastAsiaTheme="minorEastAsia"/>
        </w:rPr>
        <w:t> </w:t>
      </w:r>
      <w:r w:rsidR="009F2FAE" w:rsidRPr="009F2FAE">
        <w:rPr>
          <w:rFonts w:eastAsiaTheme="minorEastAsia"/>
        </w:rPr>
        <w:t>464</w:t>
      </w:r>
      <w:r w:rsidR="00CD6F27" w:rsidRPr="009F2FAE">
        <w:rPr>
          <w:rFonts w:eastAsiaTheme="minorEastAsia"/>
        </w:rPr>
        <w:t>,</w:t>
      </w:r>
      <w:r w:rsidR="009F2FAE" w:rsidRPr="009F2FAE">
        <w:rPr>
          <w:rFonts w:eastAsiaTheme="minorEastAsia"/>
        </w:rPr>
        <w:t>2</w:t>
      </w:r>
      <w:r w:rsidR="00CD6F27" w:rsidRPr="009F2FAE">
        <w:rPr>
          <w:rFonts w:eastAsiaTheme="minorEastAsia"/>
        </w:rPr>
        <w:t> </w:t>
      </w:r>
      <w:r w:rsidR="00C01FE8" w:rsidRPr="009F2FAE">
        <w:rPr>
          <w:rFonts w:eastAsiaTheme="minorEastAsia"/>
        </w:rPr>
        <w:t>milion</w:t>
      </w:r>
      <w:r w:rsidR="00CD6F27" w:rsidRPr="009F2FAE">
        <w:rPr>
          <w:rFonts w:eastAsiaTheme="minorEastAsia"/>
        </w:rPr>
        <w:t>u</w:t>
      </w:r>
      <w:r w:rsidR="00C01FE8" w:rsidRPr="009F2FAE">
        <w:rPr>
          <w:rFonts w:eastAsiaTheme="minorEastAsia"/>
        </w:rPr>
        <w:t xml:space="preserve"> Kč.</w:t>
      </w:r>
      <w:r w:rsidR="00A10C75" w:rsidRPr="009F2FAE">
        <w:rPr>
          <w:rStyle w:val="Znakapoznpodarou"/>
          <w:rFonts w:eastAsiaTheme="minorEastAsia"/>
        </w:rPr>
        <w:footnoteReference w:id="2"/>
      </w:r>
      <w:r w:rsidR="00B42A27" w:rsidRPr="009F2FAE">
        <w:rPr>
          <w:rFonts w:eastAsiaTheme="minorEastAsia"/>
        </w:rPr>
        <w:t xml:space="preserve"> </w:t>
      </w:r>
    </w:p>
    <w:p w14:paraId="76C90AAA" w14:textId="711C55B7" w:rsidR="00C024F5" w:rsidRPr="00B819F3" w:rsidRDefault="00C024F5" w:rsidP="00C024F5">
      <w:pPr>
        <w:pStyle w:val="Odrazka1"/>
        <w:rPr>
          <w:b/>
          <w:bCs/>
        </w:rPr>
      </w:pPr>
      <w:r w:rsidRPr="00B819F3">
        <w:t>Upravený zisk Colt CZ dosáhl za prvních šest měsíců letošního roku 1,19 miliardy Kč, což je o 1,3 % více než v roce 2022.</w:t>
      </w:r>
      <w:r w:rsidRPr="00B819F3">
        <w:rPr>
          <w:rStyle w:val="Znakapoznpodarou"/>
        </w:rPr>
        <w:footnoteReference w:id="3"/>
      </w:r>
    </w:p>
    <w:p w14:paraId="63BF75DD" w14:textId="370376D6" w:rsidR="009150A2" w:rsidRPr="009150A2" w:rsidRDefault="00E703CE" w:rsidP="004A0B6E">
      <w:pPr>
        <w:pStyle w:val="Odrazka1"/>
        <w:rPr>
          <w:b/>
          <w:bCs/>
        </w:rPr>
      </w:pPr>
      <w:r w:rsidRPr="479D637B">
        <w:rPr>
          <w:rFonts w:eastAsiaTheme="minorEastAsia"/>
        </w:rPr>
        <w:t xml:space="preserve">Počet prodaných </w:t>
      </w:r>
      <w:r w:rsidR="006772FA" w:rsidRPr="479D637B">
        <w:rPr>
          <w:rFonts w:eastAsiaTheme="minorEastAsia"/>
        </w:rPr>
        <w:t xml:space="preserve">zbraní se v prvním </w:t>
      </w:r>
      <w:r w:rsidR="00955D96" w:rsidRPr="479D637B">
        <w:rPr>
          <w:rFonts w:eastAsiaTheme="minorEastAsia"/>
        </w:rPr>
        <w:t xml:space="preserve">pololetí letošního roku </w:t>
      </w:r>
      <w:r w:rsidR="00B24395" w:rsidRPr="479D637B">
        <w:rPr>
          <w:rFonts w:eastAsiaTheme="minorEastAsia"/>
        </w:rPr>
        <w:t>snížil</w:t>
      </w:r>
      <w:r w:rsidR="00955D96" w:rsidRPr="479D637B">
        <w:rPr>
          <w:rFonts w:eastAsiaTheme="minorEastAsia"/>
        </w:rPr>
        <w:t xml:space="preserve"> v porovnání </w:t>
      </w:r>
      <w:r w:rsidR="00336527" w:rsidRPr="479D637B">
        <w:rPr>
          <w:rFonts w:eastAsiaTheme="minorEastAsia"/>
        </w:rPr>
        <w:t>s prvními šesti měsíci 202</w:t>
      </w:r>
      <w:r w:rsidR="00B24395" w:rsidRPr="479D637B">
        <w:rPr>
          <w:rFonts w:eastAsiaTheme="minorEastAsia"/>
        </w:rPr>
        <w:t>2</w:t>
      </w:r>
      <w:r w:rsidR="00F107A9" w:rsidRPr="479D637B">
        <w:rPr>
          <w:rFonts w:eastAsiaTheme="minorEastAsia"/>
        </w:rPr>
        <w:t xml:space="preserve"> o </w:t>
      </w:r>
      <w:r w:rsidR="00B24395" w:rsidRPr="479D637B">
        <w:rPr>
          <w:rFonts w:eastAsiaTheme="minorEastAsia"/>
        </w:rPr>
        <w:t>13,3</w:t>
      </w:r>
      <w:r w:rsidR="00E01250" w:rsidRPr="479D637B">
        <w:rPr>
          <w:rFonts w:eastAsiaTheme="minorEastAsia"/>
        </w:rPr>
        <w:t xml:space="preserve"> % na </w:t>
      </w:r>
      <w:r w:rsidR="003401CE" w:rsidRPr="479D637B">
        <w:rPr>
          <w:rFonts w:eastAsiaTheme="minorEastAsia"/>
        </w:rPr>
        <w:t>3</w:t>
      </w:r>
      <w:r w:rsidR="00B24395" w:rsidRPr="479D637B">
        <w:rPr>
          <w:rFonts w:eastAsiaTheme="minorEastAsia"/>
        </w:rPr>
        <w:t>14</w:t>
      </w:r>
      <w:r w:rsidR="00B32AE9" w:rsidRPr="479D637B">
        <w:rPr>
          <w:rFonts w:eastAsiaTheme="minorEastAsia"/>
        </w:rPr>
        <w:t> </w:t>
      </w:r>
      <w:r w:rsidR="00B24395" w:rsidRPr="479D637B">
        <w:rPr>
          <w:rFonts w:eastAsiaTheme="minorEastAsia"/>
        </w:rPr>
        <w:t>564</w:t>
      </w:r>
      <w:r w:rsidR="00B32AE9" w:rsidRPr="479D637B">
        <w:rPr>
          <w:rFonts w:eastAsiaTheme="minorEastAsia"/>
        </w:rPr>
        <w:t xml:space="preserve"> prodaných kusů. Krátké palné zbraně byly </w:t>
      </w:r>
      <w:r w:rsidR="3C94CB5A" w:rsidRPr="479D637B">
        <w:rPr>
          <w:rFonts w:eastAsiaTheme="minorEastAsia"/>
        </w:rPr>
        <w:t>v prodejním mixu</w:t>
      </w:r>
      <w:r w:rsidR="00B32AE9" w:rsidRPr="479D637B">
        <w:rPr>
          <w:rFonts w:eastAsiaTheme="minorEastAsia"/>
        </w:rPr>
        <w:t xml:space="preserve"> zastoupeny </w:t>
      </w:r>
      <w:r w:rsidR="008954C7" w:rsidRPr="479D637B">
        <w:rPr>
          <w:rFonts w:eastAsiaTheme="minorEastAsia"/>
        </w:rPr>
        <w:t>z </w:t>
      </w:r>
      <w:r w:rsidR="000670D6" w:rsidRPr="479D637B">
        <w:rPr>
          <w:rFonts w:eastAsiaTheme="minorEastAsia"/>
        </w:rPr>
        <w:t>62</w:t>
      </w:r>
      <w:r w:rsidR="008954C7" w:rsidRPr="479D637B">
        <w:rPr>
          <w:rFonts w:eastAsiaTheme="minorEastAsia"/>
        </w:rPr>
        <w:t>,5 % a dlouhé palné zbraně</w:t>
      </w:r>
      <w:r w:rsidR="00AE18E6" w:rsidRPr="479D637B">
        <w:rPr>
          <w:rFonts w:eastAsiaTheme="minorEastAsia"/>
        </w:rPr>
        <w:t xml:space="preserve"> </w:t>
      </w:r>
      <w:r w:rsidR="316E4CB5" w:rsidRPr="479D637B">
        <w:rPr>
          <w:rFonts w:eastAsiaTheme="minorEastAsia"/>
        </w:rPr>
        <w:t>tvořily</w:t>
      </w:r>
      <w:r w:rsidR="000670D6" w:rsidRPr="479D637B">
        <w:rPr>
          <w:rFonts w:eastAsiaTheme="minorEastAsia"/>
        </w:rPr>
        <w:t xml:space="preserve"> 37</w:t>
      </w:r>
      <w:r w:rsidR="009150A2" w:rsidRPr="479D637B">
        <w:rPr>
          <w:rFonts w:eastAsiaTheme="minorEastAsia"/>
        </w:rPr>
        <w:t>,</w:t>
      </w:r>
      <w:r w:rsidR="000670D6" w:rsidRPr="479D637B">
        <w:rPr>
          <w:rFonts w:eastAsiaTheme="minorEastAsia"/>
        </w:rPr>
        <w:t>5</w:t>
      </w:r>
      <w:r w:rsidR="009150A2" w:rsidRPr="479D637B">
        <w:rPr>
          <w:rFonts w:eastAsiaTheme="minorEastAsia"/>
        </w:rPr>
        <w:t xml:space="preserve"> %</w:t>
      </w:r>
      <w:r w:rsidR="001E34DD" w:rsidRPr="479D637B">
        <w:rPr>
          <w:rFonts w:eastAsiaTheme="minorEastAsia"/>
        </w:rPr>
        <w:t>.</w:t>
      </w:r>
    </w:p>
    <w:p w14:paraId="458FA47D" w14:textId="630ED8AA" w:rsidR="004A0B6E" w:rsidRPr="004A0B6E" w:rsidRDefault="03B1D620" w:rsidP="004A0B6E">
      <w:pPr>
        <w:pStyle w:val="Odrazka1"/>
        <w:rPr>
          <w:rFonts w:eastAsiaTheme="minorEastAsia"/>
        </w:rPr>
      </w:pPr>
      <w:r w:rsidRPr="479D637B">
        <w:rPr>
          <w:rFonts w:eastAsiaTheme="minorEastAsia"/>
        </w:rPr>
        <w:t>Z</w:t>
      </w:r>
      <w:r w:rsidR="002F4E46" w:rsidRPr="7DCF7970">
        <w:rPr>
          <w:rFonts w:eastAsiaTheme="minorEastAsia"/>
        </w:rPr>
        <w:t xml:space="preserve"> celkových </w:t>
      </w:r>
      <w:r w:rsidR="002F4E46" w:rsidRPr="479D637B">
        <w:rPr>
          <w:rFonts w:eastAsiaTheme="minorEastAsia"/>
        </w:rPr>
        <w:t>výnos</w:t>
      </w:r>
      <w:r w:rsidR="2C198CA9" w:rsidRPr="479D637B">
        <w:rPr>
          <w:rFonts w:eastAsiaTheme="minorEastAsia"/>
        </w:rPr>
        <w:t>ů</w:t>
      </w:r>
      <w:r w:rsidR="3B70FEC1" w:rsidRPr="7DCF7970">
        <w:rPr>
          <w:rFonts w:eastAsiaTheme="minorEastAsia"/>
        </w:rPr>
        <w:t xml:space="preserve"> Colt CZ </w:t>
      </w:r>
      <w:r w:rsidR="002F4E46" w:rsidRPr="7DCF7970">
        <w:rPr>
          <w:rFonts w:eastAsiaTheme="minorEastAsia"/>
        </w:rPr>
        <w:t xml:space="preserve">představovaly v první polovině letošního roku výnosy v USA podíl </w:t>
      </w:r>
      <w:r w:rsidR="000670D6">
        <w:rPr>
          <w:rFonts w:eastAsiaTheme="minorEastAsia"/>
        </w:rPr>
        <w:t>46</w:t>
      </w:r>
      <w:r w:rsidR="00852156" w:rsidRPr="7DCF7970">
        <w:rPr>
          <w:rFonts w:eastAsiaTheme="minorEastAsia"/>
        </w:rPr>
        <w:t>,8</w:t>
      </w:r>
      <w:r w:rsidR="002F4E46" w:rsidRPr="7DCF7970">
        <w:rPr>
          <w:rFonts w:eastAsiaTheme="minorEastAsia"/>
        </w:rPr>
        <w:t xml:space="preserve"> %</w:t>
      </w:r>
      <w:r w:rsidR="4E208FCB" w:rsidRPr="7DCF7970">
        <w:rPr>
          <w:rFonts w:eastAsiaTheme="minorEastAsia"/>
        </w:rPr>
        <w:t>;</w:t>
      </w:r>
      <w:r w:rsidR="002F4E46" w:rsidRPr="7DCF7970">
        <w:rPr>
          <w:rFonts w:eastAsiaTheme="minorEastAsia"/>
        </w:rPr>
        <w:t xml:space="preserve"> </w:t>
      </w:r>
      <w:r w:rsidR="000670D6">
        <w:rPr>
          <w:rFonts w:eastAsiaTheme="minorEastAsia"/>
        </w:rPr>
        <w:t>20</w:t>
      </w:r>
      <w:r w:rsidR="00E0739B" w:rsidRPr="7DCF7970">
        <w:rPr>
          <w:rFonts w:eastAsiaTheme="minorEastAsia"/>
        </w:rPr>
        <w:t xml:space="preserve">,0 </w:t>
      </w:r>
      <w:r w:rsidR="002F4E46" w:rsidRPr="7DCF7970">
        <w:rPr>
          <w:rFonts w:eastAsiaTheme="minorEastAsia"/>
        </w:rPr>
        <w:t>%</w:t>
      </w:r>
      <w:r w:rsidR="212A07BE" w:rsidRPr="7DCF7970">
        <w:rPr>
          <w:rFonts w:eastAsiaTheme="minorEastAsia"/>
        </w:rPr>
        <w:t xml:space="preserve"> </w:t>
      </w:r>
      <w:r w:rsidR="2A0AC01F" w:rsidRPr="479D637B">
        <w:rPr>
          <w:rFonts w:eastAsiaTheme="minorEastAsia"/>
        </w:rPr>
        <w:t xml:space="preserve">pak </w:t>
      </w:r>
      <w:r w:rsidR="212A07BE" w:rsidRPr="7DCF7970">
        <w:rPr>
          <w:rFonts w:eastAsiaTheme="minorEastAsia"/>
        </w:rPr>
        <w:t>tvořily</w:t>
      </w:r>
      <w:r w:rsidR="002F4E46" w:rsidRPr="7DCF7970">
        <w:rPr>
          <w:rFonts w:eastAsiaTheme="minorEastAsia"/>
        </w:rPr>
        <w:t xml:space="preserve"> výnos</w:t>
      </w:r>
      <w:r w:rsidR="709D7C89" w:rsidRPr="7DCF7970">
        <w:rPr>
          <w:rFonts w:eastAsiaTheme="minorEastAsia"/>
        </w:rPr>
        <w:t>y</w:t>
      </w:r>
      <w:r w:rsidR="002F4E46" w:rsidRPr="7DCF7970">
        <w:rPr>
          <w:rFonts w:eastAsiaTheme="minorEastAsia"/>
        </w:rPr>
        <w:t xml:space="preserve"> dosažen</w:t>
      </w:r>
      <w:r w:rsidR="009171EA">
        <w:rPr>
          <w:rFonts w:eastAsiaTheme="minorEastAsia"/>
        </w:rPr>
        <w:t>é</w:t>
      </w:r>
      <w:r w:rsidR="002F4E46" w:rsidRPr="7DCF7970">
        <w:rPr>
          <w:rFonts w:eastAsiaTheme="minorEastAsia"/>
        </w:rPr>
        <w:t xml:space="preserve"> </w:t>
      </w:r>
      <w:r w:rsidR="000670D6">
        <w:rPr>
          <w:rFonts w:eastAsiaTheme="minorEastAsia"/>
        </w:rPr>
        <w:t>v České republice</w:t>
      </w:r>
      <w:r w:rsidR="002F4E46" w:rsidRPr="7DCF7970">
        <w:rPr>
          <w:rFonts w:eastAsiaTheme="minorEastAsia"/>
        </w:rPr>
        <w:t xml:space="preserve">. </w:t>
      </w:r>
      <w:r w:rsidR="000670D6">
        <w:rPr>
          <w:rFonts w:eastAsiaTheme="minorEastAsia"/>
        </w:rPr>
        <w:t xml:space="preserve">Kanada </w:t>
      </w:r>
      <w:r w:rsidR="002F4E46" w:rsidRPr="7DCF7970">
        <w:rPr>
          <w:rFonts w:eastAsiaTheme="minorEastAsia"/>
        </w:rPr>
        <w:t xml:space="preserve">se na celkových výnosech podílela z </w:t>
      </w:r>
      <w:r w:rsidR="000670D6">
        <w:rPr>
          <w:rFonts w:eastAsiaTheme="minorEastAsia"/>
        </w:rPr>
        <w:t>14</w:t>
      </w:r>
      <w:r w:rsidR="002F4E46" w:rsidRPr="7DCF7970">
        <w:rPr>
          <w:rFonts w:eastAsiaTheme="minorEastAsia"/>
        </w:rPr>
        <w:t>,</w:t>
      </w:r>
      <w:r w:rsidR="000670D6">
        <w:rPr>
          <w:rFonts w:eastAsiaTheme="minorEastAsia"/>
        </w:rPr>
        <w:t>2</w:t>
      </w:r>
      <w:r w:rsidR="002F4E46" w:rsidRPr="7DCF7970">
        <w:rPr>
          <w:rFonts w:eastAsiaTheme="minorEastAsia"/>
        </w:rPr>
        <w:t xml:space="preserve"> %, </w:t>
      </w:r>
      <w:r w:rsidR="000670D6">
        <w:rPr>
          <w:rFonts w:eastAsiaTheme="minorEastAsia"/>
        </w:rPr>
        <w:t>Evropa (bez ČR)</w:t>
      </w:r>
      <w:r w:rsidR="002F4E46" w:rsidRPr="7DCF7970">
        <w:rPr>
          <w:rFonts w:eastAsiaTheme="minorEastAsia"/>
        </w:rPr>
        <w:t xml:space="preserve"> z</w:t>
      </w:r>
      <w:r w:rsidR="000670D6">
        <w:rPr>
          <w:rFonts w:eastAsiaTheme="minorEastAsia"/>
        </w:rPr>
        <w:t> 10,7</w:t>
      </w:r>
      <w:r w:rsidR="002F4E46" w:rsidRPr="7DCF7970">
        <w:rPr>
          <w:rFonts w:eastAsiaTheme="minorEastAsia"/>
        </w:rPr>
        <w:t xml:space="preserve"> %, </w:t>
      </w:r>
      <w:r w:rsidR="000670D6">
        <w:rPr>
          <w:rFonts w:eastAsiaTheme="minorEastAsia"/>
        </w:rPr>
        <w:t>Asie ze 4,0 %, Afrika z 1,3 %</w:t>
      </w:r>
      <w:r w:rsidR="00B05017">
        <w:rPr>
          <w:rFonts w:eastAsiaTheme="minorEastAsia"/>
        </w:rPr>
        <w:t xml:space="preserve"> </w:t>
      </w:r>
      <w:r w:rsidR="002F4E46" w:rsidRPr="7DCF7970">
        <w:rPr>
          <w:rFonts w:eastAsiaTheme="minorEastAsia"/>
        </w:rPr>
        <w:t>a ostatní státy světa pak</w:t>
      </w:r>
      <w:r w:rsidR="00B05017">
        <w:rPr>
          <w:rFonts w:eastAsiaTheme="minorEastAsia"/>
        </w:rPr>
        <w:t xml:space="preserve"> ze</w:t>
      </w:r>
      <w:r w:rsidR="002F4E46" w:rsidRPr="7DCF7970">
        <w:rPr>
          <w:rFonts w:eastAsiaTheme="minorEastAsia"/>
        </w:rPr>
        <w:t xml:space="preserve"> </w:t>
      </w:r>
      <w:r w:rsidR="00013FE3" w:rsidRPr="7DCF7970">
        <w:rPr>
          <w:rFonts w:eastAsiaTheme="minorEastAsia"/>
        </w:rPr>
        <w:t>3,</w:t>
      </w:r>
      <w:r w:rsidR="000670D6">
        <w:rPr>
          <w:rFonts w:eastAsiaTheme="minorEastAsia"/>
        </w:rPr>
        <w:t>0</w:t>
      </w:r>
      <w:r w:rsidR="002F4E46" w:rsidRPr="7DCF7970">
        <w:rPr>
          <w:rFonts w:eastAsiaTheme="minorEastAsia"/>
        </w:rPr>
        <w:t xml:space="preserve"> %. </w:t>
      </w:r>
    </w:p>
    <w:p w14:paraId="44F8B75C" w14:textId="4F523067" w:rsidR="000670D6" w:rsidRPr="000670D6" w:rsidRDefault="000670D6" w:rsidP="7DCF7970">
      <w:pPr>
        <w:rPr>
          <w:shd w:val="clear" w:color="auto" w:fill="FFFFFF"/>
        </w:rPr>
      </w:pPr>
      <w:r w:rsidRPr="000670D6">
        <w:rPr>
          <w:i/>
          <w:iCs/>
          <w:shd w:val="clear" w:color="auto" w:fill="FFFFFF"/>
        </w:rPr>
        <w:t xml:space="preserve">„Velmi mě </w:t>
      </w:r>
      <w:proofErr w:type="gramStart"/>
      <w:r w:rsidRPr="000670D6">
        <w:rPr>
          <w:i/>
          <w:iCs/>
          <w:shd w:val="clear" w:color="auto" w:fill="FFFFFF"/>
        </w:rPr>
        <w:t>těší</w:t>
      </w:r>
      <w:proofErr w:type="gramEnd"/>
      <w:r w:rsidRPr="000670D6">
        <w:rPr>
          <w:i/>
          <w:iCs/>
          <w:shd w:val="clear" w:color="auto" w:fill="FFFFFF"/>
        </w:rPr>
        <w:t xml:space="preserve">, že se obchodní výkon Skupiny ve druhém čtvrtletí </w:t>
      </w:r>
      <w:r w:rsidR="7BF3DAEA" w:rsidRPr="479D637B">
        <w:rPr>
          <w:i/>
          <w:iCs/>
          <w:shd w:val="clear" w:color="auto" w:fill="FFFFFF"/>
        </w:rPr>
        <w:t>letošního roku</w:t>
      </w:r>
      <w:r w:rsidRPr="000670D6">
        <w:rPr>
          <w:i/>
          <w:iCs/>
          <w:shd w:val="clear" w:color="auto" w:fill="FFFFFF"/>
        </w:rPr>
        <w:t xml:space="preserve"> zlepšil </w:t>
      </w:r>
      <w:r w:rsidR="3012AA30" w:rsidRPr="479D637B">
        <w:rPr>
          <w:i/>
          <w:iCs/>
          <w:shd w:val="clear" w:color="auto" w:fill="FFFFFF"/>
        </w:rPr>
        <w:t xml:space="preserve">nejen </w:t>
      </w:r>
      <w:r w:rsidR="00F07D22">
        <w:rPr>
          <w:i/>
          <w:iCs/>
          <w:shd w:val="clear" w:color="auto" w:fill="FFFFFF"/>
        </w:rPr>
        <w:t>o</w:t>
      </w:r>
      <w:r w:rsidRPr="000670D6">
        <w:rPr>
          <w:i/>
          <w:iCs/>
          <w:shd w:val="clear" w:color="auto" w:fill="FFFFFF"/>
        </w:rPr>
        <w:t xml:space="preserve">proti prvnímu čtvrtletí, ale i srovnatelnému období </w:t>
      </w:r>
      <w:r w:rsidR="766CF4B4" w:rsidRPr="479D637B">
        <w:rPr>
          <w:i/>
          <w:iCs/>
          <w:shd w:val="clear" w:color="auto" w:fill="FFFFFF"/>
        </w:rPr>
        <w:t xml:space="preserve">v roce </w:t>
      </w:r>
      <w:r w:rsidRPr="000670D6">
        <w:rPr>
          <w:i/>
          <w:iCs/>
          <w:shd w:val="clear" w:color="auto" w:fill="FFFFFF"/>
        </w:rPr>
        <w:t>2022. Finanční výsledky i nadále odrážejí zvýšenou sezónnost našeho podnikání související s nárůstem podílu prodejů v segmentu ozbrojených složek</w:t>
      </w:r>
      <w:r w:rsidR="001F459C">
        <w:rPr>
          <w:i/>
          <w:iCs/>
          <w:shd w:val="clear" w:color="auto" w:fill="FFFFFF"/>
        </w:rPr>
        <w:t>,</w:t>
      </w:r>
      <w:r w:rsidR="00B819F3">
        <w:rPr>
          <w:i/>
          <w:iCs/>
          <w:shd w:val="clear" w:color="auto" w:fill="FFFFFF"/>
        </w:rPr>
        <w:t>.</w:t>
      </w:r>
      <w:r w:rsidR="001F459C">
        <w:rPr>
          <w:i/>
          <w:iCs/>
          <w:shd w:val="clear" w:color="auto" w:fill="FFFFFF"/>
        </w:rPr>
        <w:t xml:space="preserve">“ </w:t>
      </w:r>
      <w:r w:rsidR="001F459C" w:rsidRPr="000670D6">
        <w:rPr>
          <w:shd w:val="clear" w:color="auto" w:fill="FFFFFF"/>
        </w:rPr>
        <w:t xml:space="preserve">uvedl </w:t>
      </w:r>
      <w:r w:rsidR="001F459C" w:rsidRPr="000670D6">
        <w:rPr>
          <w:b/>
          <w:bCs/>
          <w:shd w:val="clear" w:color="auto" w:fill="FFFFFF"/>
        </w:rPr>
        <w:t>Jan Drahota CEO a předseda představenstva Colt CZ Group</w:t>
      </w:r>
      <w:r w:rsidR="001F459C">
        <w:rPr>
          <w:b/>
          <w:bCs/>
          <w:shd w:val="clear" w:color="auto" w:fill="FFFFFF"/>
        </w:rPr>
        <w:t>.</w:t>
      </w:r>
      <w:r w:rsidR="00B819F3">
        <w:rPr>
          <w:i/>
          <w:iCs/>
          <w:shd w:val="clear" w:color="auto" w:fill="FFFFFF"/>
        </w:rPr>
        <w:t xml:space="preserve"> </w:t>
      </w:r>
      <w:r w:rsidR="001F459C">
        <w:rPr>
          <w:i/>
          <w:iCs/>
          <w:shd w:val="clear" w:color="auto" w:fill="FFFFFF"/>
        </w:rPr>
        <w:t>„</w:t>
      </w:r>
      <w:r w:rsidR="00B819F3">
        <w:rPr>
          <w:i/>
          <w:iCs/>
          <w:shd w:val="clear" w:color="auto" w:fill="FFFFFF"/>
        </w:rPr>
        <w:t xml:space="preserve">Rád bych také vyzdvihl </w:t>
      </w:r>
      <w:r w:rsidR="00B819F3" w:rsidRPr="00B819F3">
        <w:rPr>
          <w:i/>
          <w:iCs/>
          <w:shd w:val="clear" w:color="auto" w:fill="FFFFFF"/>
        </w:rPr>
        <w:t>akvizic</w:t>
      </w:r>
      <w:r w:rsidR="001F459C">
        <w:rPr>
          <w:i/>
          <w:iCs/>
          <w:shd w:val="clear" w:color="auto" w:fill="FFFFFF"/>
        </w:rPr>
        <w:t>i</w:t>
      </w:r>
      <w:r w:rsidR="00B819F3" w:rsidRPr="00B819F3">
        <w:rPr>
          <w:i/>
          <w:iCs/>
          <w:shd w:val="clear" w:color="auto" w:fill="FFFFFF"/>
        </w:rPr>
        <w:t xml:space="preserve"> </w:t>
      </w:r>
      <w:r w:rsidR="00B819F3">
        <w:rPr>
          <w:i/>
          <w:iCs/>
          <w:shd w:val="clear" w:color="auto" w:fill="FFFFFF"/>
        </w:rPr>
        <w:t>švýcarského referenčního výrobce</w:t>
      </w:r>
      <w:r w:rsidR="00B819F3" w:rsidRPr="00B819F3">
        <w:rPr>
          <w:i/>
          <w:iCs/>
          <w:shd w:val="clear" w:color="auto" w:fill="FFFFFF"/>
        </w:rPr>
        <w:t xml:space="preserve"> </w:t>
      </w:r>
      <w:r w:rsidR="00B819F3">
        <w:rPr>
          <w:i/>
          <w:iCs/>
          <w:shd w:val="clear" w:color="auto" w:fill="FFFFFF"/>
        </w:rPr>
        <w:t xml:space="preserve">munice </w:t>
      </w:r>
      <w:r w:rsidR="00B819F3" w:rsidRPr="00B819F3">
        <w:rPr>
          <w:i/>
          <w:iCs/>
          <w:shd w:val="clear" w:color="auto" w:fill="FFFFFF"/>
        </w:rPr>
        <w:t>swissAA Holding, kter</w:t>
      </w:r>
      <w:r w:rsidR="00B819F3">
        <w:rPr>
          <w:i/>
          <w:iCs/>
          <w:shd w:val="clear" w:color="auto" w:fill="FFFFFF"/>
        </w:rPr>
        <w:t>ý</w:t>
      </w:r>
      <w:r w:rsidR="00B819F3" w:rsidRPr="00B819F3">
        <w:rPr>
          <w:i/>
          <w:iCs/>
          <w:shd w:val="clear" w:color="auto" w:fill="FFFFFF"/>
        </w:rPr>
        <w:t xml:space="preserve"> je </w:t>
      </w:r>
      <w:r w:rsidR="00B819F3">
        <w:rPr>
          <w:i/>
          <w:iCs/>
          <w:shd w:val="clear" w:color="auto" w:fill="FFFFFF"/>
        </w:rPr>
        <w:t xml:space="preserve">spolehlivým a dlouhodobým partnerem </w:t>
      </w:r>
      <w:r w:rsidR="00B819F3" w:rsidRPr="00B819F3">
        <w:rPr>
          <w:i/>
          <w:iCs/>
          <w:shd w:val="clear" w:color="auto" w:fill="FFFFFF"/>
        </w:rPr>
        <w:t>švýcarských, belgických, německých a dalších zákazníků z řad ozbrojených složek.</w:t>
      </w:r>
      <w:r w:rsidR="00B819F3">
        <w:rPr>
          <w:i/>
          <w:iCs/>
          <w:shd w:val="clear" w:color="auto" w:fill="FFFFFF"/>
        </w:rPr>
        <w:t xml:space="preserve"> </w:t>
      </w:r>
      <w:r w:rsidR="00B819F3" w:rsidRPr="00B819F3">
        <w:rPr>
          <w:i/>
          <w:iCs/>
          <w:shd w:val="clear" w:color="auto" w:fill="FFFFFF"/>
        </w:rPr>
        <w:t xml:space="preserve">Tato akvizice je součástí naší dlouhodobé růstové </w:t>
      </w:r>
      <w:r w:rsidR="00B819F3" w:rsidRPr="00B819F3">
        <w:rPr>
          <w:i/>
          <w:iCs/>
          <w:shd w:val="clear" w:color="auto" w:fill="FFFFFF"/>
        </w:rPr>
        <w:lastRenderedPageBreak/>
        <w:t>strategie, kdy munice je přirozeným doplňkem k našim hlavním výrobkům</w:t>
      </w:r>
      <w:r w:rsidR="002F2856">
        <w:rPr>
          <w:i/>
          <w:iCs/>
          <w:shd w:val="clear" w:color="auto" w:fill="FFFFFF"/>
        </w:rPr>
        <w:t>,</w:t>
      </w:r>
      <w:r w:rsidRPr="000670D6">
        <w:rPr>
          <w:i/>
          <w:iCs/>
          <w:shd w:val="clear" w:color="auto" w:fill="FFFFFF"/>
        </w:rPr>
        <w:t>“</w:t>
      </w:r>
      <w:r w:rsidR="001F459C">
        <w:rPr>
          <w:shd w:val="clear" w:color="auto" w:fill="FFFFFF"/>
        </w:rPr>
        <w:t xml:space="preserve"> upřesnil</w:t>
      </w:r>
      <w:r w:rsidRPr="000670D6">
        <w:rPr>
          <w:shd w:val="clear" w:color="auto" w:fill="FFFFFF"/>
        </w:rPr>
        <w:t xml:space="preserve"> </w:t>
      </w:r>
      <w:r w:rsidRPr="000670D6">
        <w:rPr>
          <w:b/>
          <w:bCs/>
          <w:shd w:val="clear" w:color="auto" w:fill="FFFFFF"/>
        </w:rPr>
        <w:t>Jan Drahota</w:t>
      </w:r>
      <w:r w:rsidRPr="000670D6">
        <w:rPr>
          <w:shd w:val="clear" w:color="auto" w:fill="FFFFFF"/>
        </w:rPr>
        <w:t>.</w:t>
      </w:r>
      <w:r w:rsidR="00A01F55">
        <w:rPr>
          <w:shd w:val="clear" w:color="auto" w:fill="FFFFFF"/>
        </w:rPr>
        <w:t xml:space="preserve"> </w:t>
      </w:r>
      <w:r w:rsidR="00A01F55" w:rsidRPr="00A01F55">
        <w:rPr>
          <w:shd w:val="clear" w:color="auto" w:fill="FFFFFF"/>
        </w:rPr>
        <w:t xml:space="preserve"> </w:t>
      </w:r>
    </w:p>
    <w:p w14:paraId="7435B283" w14:textId="608EDEAA" w:rsidR="000670D6" w:rsidRDefault="000670D6" w:rsidP="000670D6">
      <w:r>
        <w:t>Výnosy z prodejů ve Spojených státech poklesly v prvním pololetí 2023 meziročně o 21,2 %, na 3 218,8 mil. Kč především z důvodu poklesu některých segmentů na americkém komerčním trhu. Přesto oproti předchozímu čtvrtletí letošního roku tržby v USA vzrostly dvojnásobně. Výnosy realizované v Kanadě za první pololetí 2023 činily 970,9 milionu Kč, což je o 94,5 % m</w:t>
      </w:r>
      <w:r w:rsidR="00F07D22">
        <w:t>e</w:t>
      </w:r>
      <w:r>
        <w:t xml:space="preserve">ziročně více. Významná část výnosů v Kanadě souvisí s dodávkou na Ukrajinu. Výnosy dosažené v Evropě (vyjma ČR) za </w:t>
      </w:r>
      <w:r w:rsidR="49E644BE">
        <w:t>letošní</w:t>
      </w:r>
      <w:r>
        <w:t xml:space="preserve"> </w:t>
      </w:r>
      <w:r w:rsidR="4F76D043">
        <w:t>první</w:t>
      </w:r>
      <w:r w:rsidR="745727D0">
        <w:t xml:space="preserve"> pololetí</w:t>
      </w:r>
      <w:r>
        <w:t xml:space="preserve"> meziročně poklesly o 13,5 %, na 733,9 mil. Kč.</w:t>
      </w:r>
    </w:p>
    <w:p w14:paraId="0BADC311" w14:textId="165AED49" w:rsidR="00F07D22" w:rsidRDefault="00F07D22" w:rsidP="00F07D22">
      <w:r>
        <w:t>Výnosy dosažené v Africe vzrostly za šest měsíců do 30. června 2023 o 157,5 %, na 89,6 mil. Kč z důvodu nových zakázek z řad ozbrojených složek. Výnosy v Asii se za šest měsíců do 30.</w:t>
      </w:r>
      <w:r w:rsidR="00661C01">
        <w:t> </w:t>
      </w:r>
      <w:r>
        <w:t>června 2023 snížily o 65,6 %, na hodnotu 272,2 mil. Kč kvůli sezónnosti vládních zakázek.</w:t>
      </w:r>
    </w:p>
    <w:p w14:paraId="721E4340" w14:textId="77777777" w:rsidR="008812D4" w:rsidRDefault="00F07D22" w:rsidP="008812D4">
      <w:pPr>
        <w:pStyle w:val="Text111"/>
        <w:ind w:left="0"/>
      </w:pPr>
      <w:r>
        <w:t>Výsledky hospodaření Skupiny za první pololetí 2023 odpovídají scénářům, které Společnost indikovala v březnu tohoto roku při zveřejnění předběžných celoročních výsledků. Prodejní výsledky za první pololetí 2023 byly ovlivněny vyšší sezónností prodejů v segmentu ozbrojených složek, dopad</w:t>
      </w:r>
      <w:r w:rsidR="008812D4">
        <w:t>em</w:t>
      </w:r>
      <w:r>
        <w:t xml:space="preserve"> přepočtu z cizích měn do české koruny a zpomalením nejvýznamnějšího komerčního trhu ve Spojených státech amerických.</w:t>
      </w:r>
      <w:r w:rsidR="008812D4">
        <w:t xml:space="preserve"> Nižší poptávka v USA ovlivnila prodeje výrobků značky CZ. Skupina reagovala na fluktuaci poptávky úpravami výrobního taktu a struktury produktového mixu, optimalizací počtu zaměstnanců a dalšími opatřeními, a to především v České republice. Zároveň se podařilo uzavřít řadu významných kontraktů v segmentu ozbrojených složek jak v Evropě, tak i v zámoří, které by se měly uskutečnit ještě v tomto roce, nad úroveň plánu Skupiny.</w:t>
      </w:r>
    </w:p>
    <w:p w14:paraId="2CAF14E9" w14:textId="6F15E19D" w:rsidR="00FF7CBB" w:rsidRPr="008812D4" w:rsidRDefault="008812D4" w:rsidP="00702204">
      <w:pPr>
        <w:rPr>
          <w:highlight w:val="yellow"/>
        </w:rPr>
      </w:pPr>
      <w:r>
        <w:t xml:space="preserve">Na základě výsledků hospodaření v prvním pololetí 2023 a </w:t>
      </w:r>
      <w:r w:rsidRPr="008812D4">
        <w:t>současnému vývoji v</w:t>
      </w:r>
      <w:r w:rsidR="00AC70AE" w:rsidRPr="008812D4">
        <w:rPr>
          <w:rFonts w:cs="Calibri"/>
        </w:rPr>
        <w:t>edení Společnosti očekává, že celkové výnosy v roce 202</w:t>
      </w:r>
      <w:r w:rsidR="00F07D22" w:rsidRPr="008812D4">
        <w:rPr>
          <w:rFonts w:cs="Calibri"/>
        </w:rPr>
        <w:t>3</w:t>
      </w:r>
      <w:r w:rsidR="00AC70AE" w:rsidRPr="008812D4">
        <w:rPr>
          <w:rFonts w:cs="Calibri"/>
        </w:rPr>
        <w:t xml:space="preserve"> mohou dosáhnout výše</w:t>
      </w:r>
      <w:r w:rsidR="00AC70AE" w:rsidRPr="008812D4">
        <w:rPr>
          <w:rFonts w:cs="Calibri"/>
          <w:b/>
          <w:bCs/>
        </w:rPr>
        <w:t xml:space="preserve"> 1</w:t>
      </w:r>
      <w:r w:rsidR="00F07D22" w:rsidRPr="008812D4">
        <w:rPr>
          <w:rFonts w:cs="Calibri"/>
          <w:b/>
          <w:bCs/>
        </w:rPr>
        <w:t>6</w:t>
      </w:r>
      <w:r w:rsidR="00AC70AE" w:rsidRPr="008812D4">
        <w:rPr>
          <w:rFonts w:cs="Calibri"/>
          <w:b/>
          <w:bCs/>
        </w:rPr>
        <w:t>,</w:t>
      </w:r>
      <w:r w:rsidR="00CD6F27" w:rsidRPr="008812D4">
        <w:rPr>
          <w:rFonts w:cs="Calibri"/>
          <w:b/>
          <w:bCs/>
        </w:rPr>
        <w:t>0</w:t>
      </w:r>
      <w:r w:rsidR="00AC70AE" w:rsidRPr="008812D4">
        <w:rPr>
          <w:rFonts w:cs="Calibri"/>
          <w:b/>
          <w:bCs/>
        </w:rPr>
        <w:t>–1</w:t>
      </w:r>
      <w:r w:rsidR="00F07D22" w:rsidRPr="008812D4">
        <w:rPr>
          <w:rFonts w:cs="Calibri"/>
          <w:b/>
          <w:bCs/>
        </w:rPr>
        <w:t>6</w:t>
      </w:r>
      <w:r w:rsidR="00AC70AE" w:rsidRPr="008812D4">
        <w:rPr>
          <w:rFonts w:cs="Calibri"/>
          <w:b/>
          <w:bCs/>
        </w:rPr>
        <w:t>,</w:t>
      </w:r>
      <w:r w:rsidR="00F07D22" w:rsidRPr="008812D4">
        <w:rPr>
          <w:rFonts w:cs="Calibri"/>
          <w:b/>
          <w:bCs/>
        </w:rPr>
        <w:t>4</w:t>
      </w:r>
      <w:r w:rsidR="00AC70AE" w:rsidRPr="008812D4">
        <w:rPr>
          <w:rFonts w:cs="Calibri"/>
          <w:b/>
          <w:bCs/>
        </w:rPr>
        <w:t xml:space="preserve"> mld. Kč, </w:t>
      </w:r>
      <w:r w:rsidR="00AC70AE" w:rsidRPr="008812D4">
        <w:rPr>
          <w:rFonts w:cs="Calibri"/>
        </w:rPr>
        <w:t xml:space="preserve">což představuje meziroční nárůst </w:t>
      </w:r>
      <w:r w:rsidR="00F07D22" w:rsidRPr="008812D4">
        <w:rPr>
          <w:rFonts w:cs="Calibri"/>
        </w:rPr>
        <w:t>9,7</w:t>
      </w:r>
      <w:r w:rsidR="00AC70AE" w:rsidRPr="008812D4">
        <w:rPr>
          <w:rFonts w:cs="Calibri"/>
        </w:rPr>
        <w:t>–</w:t>
      </w:r>
      <w:r w:rsidR="00F07D22" w:rsidRPr="008812D4">
        <w:rPr>
          <w:rFonts w:cs="Calibri"/>
        </w:rPr>
        <w:t>12,4</w:t>
      </w:r>
      <w:r w:rsidR="00CD6F27" w:rsidRPr="008812D4">
        <w:rPr>
          <w:rFonts w:cs="Calibri"/>
        </w:rPr>
        <w:t xml:space="preserve"> </w:t>
      </w:r>
      <w:r w:rsidR="00AC70AE" w:rsidRPr="008812D4">
        <w:rPr>
          <w:rFonts w:cs="Calibri"/>
        </w:rPr>
        <w:t>% oproti realizovaným konsolidovaným výnosům v roce 202</w:t>
      </w:r>
      <w:r w:rsidR="00F07D22" w:rsidRPr="008812D4">
        <w:rPr>
          <w:rFonts w:cs="Calibri"/>
        </w:rPr>
        <w:t>2</w:t>
      </w:r>
      <w:r w:rsidR="00AC70AE" w:rsidRPr="008812D4">
        <w:rPr>
          <w:rFonts w:cs="Calibri"/>
        </w:rPr>
        <w:t>. Očekávaná výše ukazatele EBITDA by mohla dosáhnout v roce 202</w:t>
      </w:r>
      <w:r w:rsidR="00F07D22" w:rsidRPr="008812D4">
        <w:rPr>
          <w:rFonts w:cs="Calibri"/>
        </w:rPr>
        <w:t>3</w:t>
      </w:r>
      <w:r w:rsidR="00AC70AE" w:rsidRPr="008812D4">
        <w:rPr>
          <w:rFonts w:cs="Calibri"/>
        </w:rPr>
        <w:t xml:space="preserve"> úrovně </w:t>
      </w:r>
      <w:r w:rsidR="00AC70AE" w:rsidRPr="008812D4">
        <w:rPr>
          <w:rFonts w:cs="Calibri"/>
          <w:b/>
          <w:bCs/>
        </w:rPr>
        <w:t>3,</w:t>
      </w:r>
      <w:r w:rsidR="00F07D22" w:rsidRPr="008812D4">
        <w:rPr>
          <w:rFonts w:cs="Calibri"/>
          <w:b/>
          <w:bCs/>
        </w:rPr>
        <w:t>2</w:t>
      </w:r>
      <w:r w:rsidR="00AC70AE" w:rsidRPr="008812D4">
        <w:rPr>
          <w:rFonts w:cs="Calibri"/>
          <w:b/>
          <w:bCs/>
        </w:rPr>
        <w:t>–3,</w:t>
      </w:r>
      <w:r w:rsidR="00F07D22" w:rsidRPr="008812D4">
        <w:rPr>
          <w:rFonts w:cs="Calibri"/>
          <w:b/>
          <w:bCs/>
        </w:rPr>
        <w:t>4</w:t>
      </w:r>
      <w:r w:rsidR="00AC70AE" w:rsidRPr="008812D4">
        <w:rPr>
          <w:rFonts w:cs="Calibri"/>
          <w:b/>
          <w:bCs/>
        </w:rPr>
        <w:t xml:space="preserve"> mld. Kč, </w:t>
      </w:r>
      <w:r w:rsidR="00AC70AE" w:rsidRPr="008812D4">
        <w:rPr>
          <w:rFonts w:cs="Calibri"/>
        </w:rPr>
        <w:t xml:space="preserve">což </w:t>
      </w:r>
      <w:r w:rsidR="00F07D22" w:rsidRPr="008812D4">
        <w:rPr>
          <w:rFonts w:cs="Calibri"/>
        </w:rPr>
        <w:t xml:space="preserve">na horní hranici </w:t>
      </w:r>
      <w:r w:rsidR="00AC70AE" w:rsidRPr="008812D4">
        <w:rPr>
          <w:rFonts w:cs="Calibri"/>
        </w:rPr>
        <w:t xml:space="preserve">představuje meziroční nárůst </w:t>
      </w:r>
      <w:r w:rsidR="00F07D22" w:rsidRPr="008812D4">
        <w:rPr>
          <w:rFonts w:cs="Calibri"/>
        </w:rPr>
        <w:t>o 1</w:t>
      </w:r>
      <w:r w:rsidR="00AC70AE" w:rsidRPr="008812D4">
        <w:rPr>
          <w:rFonts w:cs="Calibri"/>
        </w:rPr>
        <w:t xml:space="preserve"> % oproti hodnotě upravené konsolidované EBITDA dosažené v roce 202</w:t>
      </w:r>
      <w:r w:rsidR="00F07D22" w:rsidRPr="008812D4">
        <w:rPr>
          <w:rFonts w:cs="Calibri"/>
        </w:rPr>
        <w:t>2</w:t>
      </w:r>
      <w:r w:rsidR="00AC70AE" w:rsidRPr="008812D4">
        <w:rPr>
          <w:rFonts w:cs="Calibri"/>
        </w:rPr>
        <w:t>.</w:t>
      </w:r>
      <w:r w:rsidR="00AC70AE" w:rsidRPr="007F3A3D">
        <w:rPr>
          <w:rFonts w:cs="Calibri"/>
        </w:rPr>
        <w:t xml:space="preserve"> </w:t>
      </w:r>
    </w:p>
    <w:p w14:paraId="54FABBDB" w14:textId="77777777" w:rsidR="009F2FAE" w:rsidRPr="00F07D22" w:rsidRDefault="009F2FAE" w:rsidP="00F07D22">
      <w:pPr>
        <w:pStyle w:val="Text111"/>
        <w:ind w:left="0"/>
        <w:rPr>
          <w:rStyle w:val="Zdraznn"/>
          <w:rFonts w:cs="Calibri"/>
          <w:b w:val="0"/>
          <w:szCs w:val="24"/>
        </w:rPr>
      </w:pPr>
    </w:p>
    <w:p w14:paraId="29E6FD05" w14:textId="77777777" w:rsidR="00C73968" w:rsidRDefault="00C73968" w:rsidP="00C73968">
      <w:pPr>
        <w:rPr>
          <w:b/>
        </w:rPr>
      </w:pPr>
      <w:r>
        <w:rPr>
          <w:rStyle w:val="Zdraznn"/>
        </w:rPr>
        <w:t xml:space="preserve">O SPOLEČNOSTI Colt CZ Group SE </w:t>
      </w:r>
    </w:p>
    <w:p w14:paraId="484DFEA9" w14:textId="7D002680" w:rsidR="00F07D22" w:rsidRPr="00F07D22" w:rsidRDefault="00F07D22" w:rsidP="00F07D22">
      <w:pPr>
        <w:pStyle w:val="Text111"/>
        <w:ind w:left="0"/>
        <w:rPr>
          <w:szCs w:val="24"/>
        </w:rPr>
      </w:pPr>
      <w:r w:rsidRPr="00F07D22">
        <w:rPr>
          <w:szCs w:val="24"/>
        </w:rPr>
        <w:t>Skupina Colt CZ je jedním z</w:t>
      </w:r>
      <w:r w:rsidRPr="00F07D22">
        <w:rPr>
          <w:rFonts w:ascii="Cambria Math" w:hAnsi="Cambria Math" w:cs="Cambria Math"/>
          <w:szCs w:val="24"/>
        </w:rPr>
        <w:t> </w:t>
      </w:r>
      <w:r w:rsidRPr="00F07D22">
        <w:rPr>
          <w:szCs w:val="24"/>
        </w:rPr>
        <w:t>p</w:t>
      </w:r>
      <w:r w:rsidRPr="00F07D22">
        <w:rPr>
          <w:rFonts w:cs="Atyp Colt CZ"/>
          <w:szCs w:val="24"/>
        </w:rPr>
        <w:t>ř</w:t>
      </w:r>
      <w:r w:rsidRPr="00F07D22">
        <w:rPr>
          <w:szCs w:val="24"/>
        </w:rPr>
        <w:t>edn</w:t>
      </w:r>
      <w:r w:rsidRPr="00F07D22">
        <w:rPr>
          <w:rFonts w:cs="Atyp Colt CZ"/>
          <w:szCs w:val="24"/>
        </w:rPr>
        <w:t>í</w:t>
      </w:r>
      <w:r w:rsidRPr="00F07D22">
        <w:rPr>
          <w:szCs w:val="24"/>
        </w:rPr>
        <w:t>ch sv</w:t>
      </w:r>
      <w:r w:rsidRPr="00F07D22">
        <w:rPr>
          <w:rFonts w:cs="Atyp Colt CZ"/>
          <w:szCs w:val="24"/>
        </w:rPr>
        <w:t>ě</w:t>
      </w:r>
      <w:r w:rsidRPr="00F07D22">
        <w:rPr>
          <w:szCs w:val="24"/>
        </w:rPr>
        <w:t>tov</w:t>
      </w:r>
      <w:r w:rsidRPr="00F07D22">
        <w:rPr>
          <w:rFonts w:cs="Atyp Colt CZ"/>
          <w:szCs w:val="24"/>
        </w:rPr>
        <w:t>ý</w:t>
      </w:r>
      <w:r w:rsidRPr="00F07D22">
        <w:rPr>
          <w:szCs w:val="24"/>
        </w:rPr>
        <w:t>ch v</w:t>
      </w:r>
      <w:r w:rsidRPr="00F07D22">
        <w:rPr>
          <w:rFonts w:cs="Atyp Colt CZ"/>
          <w:szCs w:val="24"/>
        </w:rPr>
        <w:t>ý</w:t>
      </w:r>
      <w:r w:rsidRPr="00F07D22">
        <w:rPr>
          <w:szCs w:val="24"/>
        </w:rPr>
        <w:t>robc</w:t>
      </w:r>
      <w:r w:rsidRPr="00F07D22">
        <w:rPr>
          <w:rFonts w:cs="Atyp Colt CZ"/>
          <w:szCs w:val="24"/>
        </w:rPr>
        <w:t>ů</w:t>
      </w:r>
      <w:r w:rsidRPr="00F07D22">
        <w:rPr>
          <w:szCs w:val="24"/>
        </w:rPr>
        <w:t xml:space="preserve"> ru</w:t>
      </w:r>
      <w:r w:rsidRPr="00F07D22">
        <w:rPr>
          <w:rFonts w:cs="Atyp Colt CZ"/>
          <w:szCs w:val="24"/>
        </w:rPr>
        <w:t>č</w:t>
      </w:r>
      <w:r w:rsidRPr="00F07D22">
        <w:rPr>
          <w:szCs w:val="24"/>
        </w:rPr>
        <w:t>n</w:t>
      </w:r>
      <w:r w:rsidRPr="00F07D22">
        <w:rPr>
          <w:rFonts w:cs="Atyp Colt CZ"/>
          <w:szCs w:val="24"/>
        </w:rPr>
        <w:t>í</w:t>
      </w:r>
      <w:r w:rsidRPr="00F07D22">
        <w:rPr>
          <w:szCs w:val="24"/>
        </w:rPr>
        <w:t>ch paln</w:t>
      </w:r>
      <w:r w:rsidRPr="00F07D22">
        <w:rPr>
          <w:rFonts w:cs="Atyp Colt CZ"/>
          <w:szCs w:val="24"/>
        </w:rPr>
        <w:t>ý</w:t>
      </w:r>
      <w:r w:rsidRPr="00F07D22">
        <w:rPr>
          <w:szCs w:val="24"/>
        </w:rPr>
        <w:t>ch zbran</w:t>
      </w:r>
      <w:r w:rsidRPr="00F07D22">
        <w:rPr>
          <w:rFonts w:cs="Atyp Colt CZ"/>
          <w:szCs w:val="24"/>
        </w:rPr>
        <w:t>í</w:t>
      </w:r>
      <w:r w:rsidRPr="00F07D22">
        <w:rPr>
          <w:szCs w:val="24"/>
        </w:rPr>
        <w:t xml:space="preserve"> a munice pro ozbrojen</w:t>
      </w:r>
      <w:r w:rsidRPr="00F07D22">
        <w:rPr>
          <w:rFonts w:cs="Atyp Colt CZ"/>
          <w:szCs w:val="24"/>
        </w:rPr>
        <w:t>é</w:t>
      </w:r>
      <w:r w:rsidRPr="00F07D22">
        <w:rPr>
          <w:szCs w:val="24"/>
        </w:rPr>
        <w:t xml:space="preserve"> slo</w:t>
      </w:r>
      <w:r w:rsidRPr="00F07D22">
        <w:rPr>
          <w:rFonts w:cs="Atyp Colt CZ"/>
          <w:szCs w:val="24"/>
        </w:rPr>
        <w:t>ž</w:t>
      </w:r>
      <w:r w:rsidRPr="00F07D22">
        <w:rPr>
          <w:szCs w:val="24"/>
        </w:rPr>
        <w:t>ky, osobn</w:t>
      </w:r>
      <w:r w:rsidRPr="00F07D22">
        <w:rPr>
          <w:rFonts w:cs="Atyp Colt CZ"/>
          <w:szCs w:val="24"/>
        </w:rPr>
        <w:t>í</w:t>
      </w:r>
      <w:r w:rsidRPr="00F07D22">
        <w:rPr>
          <w:szCs w:val="24"/>
        </w:rPr>
        <w:t xml:space="preserve"> obranu, lov, sportovn</w:t>
      </w:r>
      <w:r w:rsidRPr="00F07D22">
        <w:rPr>
          <w:rFonts w:cs="Atyp Colt CZ"/>
          <w:szCs w:val="24"/>
        </w:rPr>
        <w:t>í</w:t>
      </w:r>
      <w:r w:rsidRPr="00F07D22">
        <w:rPr>
          <w:szCs w:val="24"/>
        </w:rPr>
        <w:t xml:space="preserve"> st</w:t>
      </w:r>
      <w:r w:rsidRPr="00F07D22">
        <w:rPr>
          <w:rFonts w:cs="Atyp Colt CZ"/>
          <w:szCs w:val="24"/>
        </w:rPr>
        <w:t>ř</w:t>
      </w:r>
      <w:r w:rsidRPr="00F07D22">
        <w:rPr>
          <w:szCs w:val="24"/>
        </w:rPr>
        <w:t>elbu a dal</w:t>
      </w:r>
      <w:r w:rsidRPr="00F07D22">
        <w:rPr>
          <w:rFonts w:cs="Atyp Colt CZ"/>
          <w:szCs w:val="24"/>
        </w:rPr>
        <w:t>ší</w:t>
      </w:r>
      <w:r w:rsidRPr="00F07D22">
        <w:rPr>
          <w:szCs w:val="24"/>
        </w:rPr>
        <w:t xml:space="preserve"> komer</w:t>
      </w:r>
      <w:r w:rsidRPr="00F07D22">
        <w:rPr>
          <w:rFonts w:cs="Atyp Colt CZ"/>
          <w:szCs w:val="24"/>
        </w:rPr>
        <w:t>č</w:t>
      </w:r>
      <w:r w:rsidRPr="00F07D22">
        <w:rPr>
          <w:szCs w:val="24"/>
        </w:rPr>
        <w:t>n</w:t>
      </w:r>
      <w:r w:rsidRPr="00F07D22">
        <w:rPr>
          <w:rFonts w:cs="Atyp Colt CZ"/>
          <w:szCs w:val="24"/>
        </w:rPr>
        <w:t>í</w:t>
      </w:r>
      <w:r w:rsidRPr="00F07D22">
        <w:rPr>
          <w:szCs w:val="24"/>
        </w:rPr>
        <w:t xml:space="preserve"> vyu</w:t>
      </w:r>
      <w:r w:rsidRPr="00F07D22">
        <w:rPr>
          <w:rFonts w:cs="Atyp Colt CZ"/>
          <w:szCs w:val="24"/>
        </w:rPr>
        <w:t>ž</w:t>
      </w:r>
      <w:r w:rsidRPr="00F07D22">
        <w:rPr>
          <w:szCs w:val="24"/>
        </w:rPr>
        <w:t>it</w:t>
      </w:r>
      <w:r w:rsidRPr="00F07D22">
        <w:rPr>
          <w:rFonts w:cs="Atyp Colt CZ"/>
          <w:szCs w:val="24"/>
        </w:rPr>
        <w:t>í</w:t>
      </w:r>
      <w:r w:rsidRPr="00F07D22">
        <w:rPr>
          <w:szCs w:val="24"/>
        </w:rPr>
        <w:t>. Sv</w:t>
      </w:r>
      <w:r w:rsidRPr="00F07D22">
        <w:rPr>
          <w:rFonts w:cs="Atyp Colt CZ"/>
          <w:szCs w:val="24"/>
        </w:rPr>
        <w:t>é</w:t>
      </w:r>
      <w:r w:rsidRPr="00F07D22">
        <w:rPr>
          <w:szCs w:val="24"/>
        </w:rPr>
        <w:t xml:space="preserve"> produkty prod</w:t>
      </w:r>
      <w:r w:rsidRPr="00F07D22">
        <w:rPr>
          <w:rFonts w:cs="Atyp Colt CZ"/>
          <w:szCs w:val="24"/>
        </w:rPr>
        <w:t>á</w:t>
      </w:r>
      <w:r w:rsidRPr="00F07D22">
        <w:rPr>
          <w:szCs w:val="24"/>
        </w:rPr>
        <w:t>v</w:t>
      </w:r>
      <w:r w:rsidRPr="00F07D22">
        <w:rPr>
          <w:rFonts w:cs="Atyp Colt CZ"/>
          <w:szCs w:val="24"/>
        </w:rPr>
        <w:t>á</w:t>
      </w:r>
      <w:r w:rsidRPr="00F07D22">
        <w:rPr>
          <w:szCs w:val="24"/>
        </w:rPr>
        <w:t xml:space="preserve"> p</w:t>
      </w:r>
      <w:r w:rsidRPr="00F07D22">
        <w:rPr>
          <w:rFonts w:cs="Atyp Colt CZ"/>
          <w:szCs w:val="24"/>
        </w:rPr>
        <w:t>ř</w:t>
      </w:r>
      <w:r w:rsidRPr="00F07D22">
        <w:rPr>
          <w:szCs w:val="24"/>
        </w:rPr>
        <w:t>edev</w:t>
      </w:r>
      <w:r w:rsidRPr="00F07D22">
        <w:rPr>
          <w:rFonts w:cs="Atyp Colt CZ"/>
          <w:szCs w:val="24"/>
        </w:rPr>
        <w:t>ší</w:t>
      </w:r>
      <w:r w:rsidRPr="00F07D22">
        <w:rPr>
          <w:szCs w:val="24"/>
        </w:rPr>
        <w:t>m pod zna</w:t>
      </w:r>
      <w:r w:rsidRPr="00F07D22">
        <w:rPr>
          <w:rFonts w:cs="Atyp Colt CZ"/>
          <w:szCs w:val="24"/>
        </w:rPr>
        <w:t>č</w:t>
      </w:r>
      <w:r w:rsidRPr="00F07D22">
        <w:rPr>
          <w:szCs w:val="24"/>
        </w:rPr>
        <w:t>kami Colt, CZ (</w:t>
      </w:r>
      <w:r w:rsidRPr="00F07D22">
        <w:rPr>
          <w:rFonts w:cs="Atyp Colt CZ"/>
          <w:szCs w:val="24"/>
        </w:rPr>
        <w:t>Č</w:t>
      </w:r>
      <w:r w:rsidRPr="00F07D22">
        <w:rPr>
          <w:szCs w:val="24"/>
        </w:rPr>
        <w:t>esk</w:t>
      </w:r>
      <w:r w:rsidRPr="00F07D22">
        <w:rPr>
          <w:rFonts w:cs="Atyp Colt CZ"/>
          <w:szCs w:val="24"/>
        </w:rPr>
        <w:t>á</w:t>
      </w:r>
      <w:r w:rsidRPr="00F07D22">
        <w:rPr>
          <w:szCs w:val="24"/>
        </w:rPr>
        <w:t xml:space="preserve"> zbrojovka), Colt Canada, CZ-USA, Dan Wesson, Spuhr, swissAA a 4M Systems.</w:t>
      </w:r>
    </w:p>
    <w:p w14:paraId="29A9C7F1" w14:textId="732F69F1" w:rsidR="004612C1" w:rsidRDefault="00F07D22" w:rsidP="00F07D22">
      <w:pPr>
        <w:pStyle w:val="Text111"/>
        <w:ind w:left="0"/>
        <w:rPr>
          <w:szCs w:val="24"/>
        </w:rPr>
      </w:pPr>
      <w:r w:rsidRPr="00F07D22">
        <w:rPr>
          <w:szCs w:val="24"/>
        </w:rPr>
        <w:t xml:space="preserve">Skupina Colt CZ sídlí v České republice a zaměstnává více než 2000 lidí ve svých výrobních závodech v České republice, Spojených státech, Kanadě, Švédsku, Švýcarsku a Maďarsku. Skupina je ze 76,0 % vlastněna holdingem Česká zbrojovka Partners SE, zbývajících 24,0 % </w:t>
      </w:r>
      <w:proofErr w:type="gramStart"/>
      <w:r w:rsidRPr="00F07D22">
        <w:rPr>
          <w:szCs w:val="24"/>
        </w:rPr>
        <w:t>tvoří</w:t>
      </w:r>
      <w:proofErr w:type="gramEnd"/>
      <w:r w:rsidRPr="00F07D22">
        <w:rPr>
          <w:szCs w:val="24"/>
        </w:rPr>
        <w:t xml:space="preserve"> veřejně obchodované akcie.</w:t>
      </w:r>
    </w:p>
    <w:p w14:paraId="36D1C97C" w14:textId="77777777" w:rsidR="00040655" w:rsidRPr="00F241D3" w:rsidRDefault="00040655" w:rsidP="00040655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292B7CA7" w14:textId="77777777" w:rsidR="00040655" w:rsidRPr="00F241D3" w:rsidRDefault="00040655" w:rsidP="00040655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>
        <w:rPr>
          <w:rFonts w:cs="Calibri"/>
          <w:b/>
          <w:bCs/>
          <w:color w:val="000000" w:themeColor="text1"/>
          <w:szCs w:val="20"/>
        </w:rPr>
        <w:t>Kontakt pro</w:t>
      </w:r>
      <w:r w:rsidRPr="00F241D3">
        <w:rPr>
          <w:rFonts w:cs="Calibri"/>
          <w:b/>
          <w:bCs/>
          <w:color w:val="000000" w:themeColor="text1"/>
          <w:szCs w:val="20"/>
        </w:rPr>
        <w:t xml:space="preserve"> m</w:t>
      </w:r>
      <w:r>
        <w:rPr>
          <w:rFonts w:cs="Calibri"/>
          <w:b/>
          <w:bCs/>
          <w:color w:val="000000" w:themeColor="text1"/>
          <w:szCs w:val="20"/>
        </w:rPr>
        <w:t>é</w:t>
      </w:r>
      <w:r w:rsidRPr="00F241D3">
        <w:rPr>
          <w:rFonts w:cs="Calibri"/>
          <w:b/>
          <w:bCs/>
          <w:color w:val="000000" w:themeColor="text1"/>
          <w:szCs w:val="20"/>
        </w:rPr>
        <w:t xml:space="preserve">dia </w:t>
      </w:r>
      <w:r w:rsidRPr="00F241D3">
        <w:rPr>
          <w:rFonts w:cs="Calibri"/>
          <w:b/>
          <w:bCs/>
          <w:color w:val="000000" w:themeColor="text1"/>
          <w:szCs w:val="20"/>
        </w:rPr>
        <w:tab/>
      </w:r>
      <w:r w:rsidRPr="00F241D3">
        <w:rPr>
          <w:rFonts w:cs="Calibri"/>
          <w:b/>
          <w:bCs/>
          <w:color w:val="000000" w:themeColor="text1"/>
          <w:szCs w:val="20"/>
        </w:rPr>
        <w:tab/>
      </w:r>
      <w:r w:rsidRPr="00F241D3">
        <w:rPr>
          <w:rFonts w:cs="Calibri"/>
          <w:b/>
          <w:bCs/>
          <w:color w:val="000000" w:themeColor="text1"/>
          <w:szCs w:val="20"/>
        </w:rPr>
        <w:tab/>
      </w:r>
      <w:r w:rsidRPr="00F241D3">
        <w:rPr>
          <w:rFonts w:cs="Calibri"/>
          <w:b/>
          <w:bCs/>
          <w:color w:val="000000" w:themeColor="text1"/>
          <w:szCs w:val="20"/>
        </w:rPr>
        <w:tab/>
      </w:r>
      <w:r w:rsidRPr="00F241D3">
        <w:rPr>
          <w:rFonts w:cs="Calibri"/>
          <w:b/>
          <w:bCs/>
          <w:color w:val="000000" w:themeColor="text1"/>
          <w:szCs w:val="20"/>
        </w:rPr>
        <w:tab/>
      </w:r>
      <w:r w:rsidRPr="00F241D3"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>Kontakt pro investory</w:t>
      </w:r>
      <w:r w:rsidRPr="00F241D3">
        <w:rPr>
          <w:rFonts w:cs="Calibri"/>
          <w:b/>
          <w:bCs/>
          <w:color w:val="000000" w:themeColor="text1"/>
          <w:szCs w:val="20"/>
        </w:rPr>
        <w:tab/>
      </w:r>
      <w:r w:rsidRPr="00F241D3">
        <w:rPr>
          <w:rFonts w:cs="Calibri"/>
          <w:b/>
          <w:bCs/>
          <w:color w:val="000000" w:themeColor="text1"/>
          <w:szCs w:val="20"/>
        </w:rPr>
        <w:tab/>
      </w:r>
      <w:r w:rsidRPr="00F241D3">
        <w:rPr>
          <w:rFonts w:cs="Calibri"/>
          <w:b/>
          <w:bCs/>
          <w:color w:val="000000" w:themeColor="text1"/>
          <w:szCs w:val="20"/>
        </w:rPr>
        <w:tab/>
      </w:r>
    </w:p>
    <w:p w14:paraId="0459EE02" w14:textId="77777777" w:rsidR="00040655" w:rsidRPr="00F241D3" w:rsidRDefault="00040655" w:rsidP="00040655">
      <w:pPr>
        <w:spacing w:before="0" w:after="0"/>
        <w:rPr>
          <w:rFonts w:cs="Calibri"/>
          <w:color w:val="000000" w:themeColor="text1"/>
          <w:szCs w:val="20"/>
        </w:rPr>
      </w:pPr>
      <w:r w:rsidRPr="00F241D3">
        <w:rPr>
          <w:rFonts w:cs="Calibri"/>
          <w:color w:val="000000" w:themeColor="text1"/>
          <w:szCs w:val="20"/>
        </w:rPr>
        <w:t xml:space="preserve">Eva Svobodová </w:t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  <w:t xml:space="preserve">Klára Šípová </w:t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</w:p>
    <w:p w14:paraId="090C8651" w14:textId="77777777" w:rsidR="00040655" w:rsidRPr="00F241D3" w:rsidRDefault="00040655" w:rsidP="00040655">
      <w:pPr>
        <w:spacing w:before="0" w:after="0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ředitelka pro vnější vztahy</w:t>
      </w:r>
      <w:r w:rsidRPr="00F241D3">
        <w:rPr>
          <w:rFonts w:cs="Calibri"/>
          <w:color w:val="000000" w:themeColor="text1"/>
          <w:szCs w:val="20"/>
        </w:rPr>
        <w:t xml:space="preserve"> </w:t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  <w:t>Investor Relations</w:t>
      </w:r>
    </w:p>
    <w:p w14:paraId="40897EC2" w14:textId="77777777" w:rsidR="00040655" w:rsidRPr="00F241D3" w:rsidRDefault="00040655" w:rsidP="00040655">
      <w:pPr>
        <w:spacing w:before="0" w:after="0"/>
        <w:rPr>
          <w:rFonts w:cs="Calibri"/>
          <w:color w:val="000000" w:themeColor="text1"/>
          <w:szCs w:val="20"/>
        </w:rPr>
      </w:pPr>
      <w:r w:rsidRPr="00F241D3">
        <w:rPr>
          <w:rFonts w:cs="Calibri"/>
          <w:color w:val="000000" w:themeColor="text1"/>
          <w:szCs w:val="20"/>
        </w:rPr>
        <w:t>Colt CZ Group SE</w:t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  <w:t>Colt CZ Group SE</w:t>
      </w:r>
    </w:p>
    <w:p w14:paraId="75D0AE31" w14:textId="77777777" w:rsidR="00040655" w:rsidRPr="00F241D3" w:rsidRDefault="00040655" w:rsidP="00040655">
      <w:pPr>
        <w:spacing w:before="0" w:after="0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Tel.:</w:t>
      </w:r>
      <w:r w:rsidRPr="00F241D3">
        <w:rPr>
          <w:rFonts w:cs="Calibri"/>
          <w:color w:val="000000" w:themeColor="text1"/>
          <w:szCs w:val="20"/>
        </w:rPr>
        <w:t xml:space="preserve"> +420 735 793 656</w:t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  <w:t>Tel.</w:t>
      </w:r>
      <w:r w:rsidRPr="00F241D3">
        <w:rPr>
          <w:rFonts w:cs="Calibri"/>
          <w:color w:val="000000" w:themeColor="text1"/>
          <w:szCs w:val="20"/>
        </w:rPr>
        <w:t>: + 420 724 255 715</w:t>
      </w:r>
      <w:r w:rsidRPr="00F241D3">
        <w:rPr>
          <w:rFonts w:cs="Calibri"/>
          <w:color w:val="000000" w:themeColor="text1"/>
          <w:szCs w:val="20"/>
        </w:rPr>
        <w:tab/>
      </w:r>
    </w:p>
    <w:p w14:paraId="750AD9D1" w14:textId="00D29EC9" w:rsidR="00CE7145" w:rsidRPr="00B819F3" w:rsidRDefault="00040655" w:rsidP="00B819F3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  <w:r w:rsidRPr="00F241D3">
        <w:rPr>
          <w:rFonts w:cs="Calibri"/>
          <w:color w:val="000000" w:themeColor="text1"/>
          <w:szCs w:val="20"/>
        </w:rPr>
        <w:t xml:space="preserve">email: </w:t>
      </w:r>
      <w:hyperlink r:id="rId11" w:history="1">
        <w:r w:rsidRPr="00F241D3">
          <w:rPr>
            <w:rStyle w:val="Hypertextovodkaz"/>
            <w:szCs w:val="20"/>
            <w:u w:val="none"/>
          </w:rPr>
          <w:t>media@coltczgroup.com</w:t>
        </w:r>
      </w:hyperlink>
      <w:r w:rsidRPr="00F241D3">
        <w:rPr>
          <w:rFonts w:cs="Calibri"/>
          <w:color w:val="000000" w:themeColor="text1"/>
          <w:szCs w:val="20"/>
        </w:rPr>
        <w:t xml:space="preserve"> </w:t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</w:r>
      <w:r w:rsidRPr="00F241D3">
        <w:rPr>
          <w:rFonts w:cs="Calibri"/>
          <w:color w:val="000000" w:themeColor="text1"/>
          <w:szCs w:val="20"/>
        </w:rPr>
        <w:tab/>
        <w:t xml:space="preserve">email: </w:t>
      </w:r>
      <w:r w:rsidRPr="00F241D3">
        <w:rPr>
          <w:szCs w:val="20"/>
        </w:rPr>
        <w:t>sipova@coltczgroup.com</w:t>
      </w:r>
    </w:p>
    <w:sectPr w:rsidR="00CE7145" w:rsidRPr="00B819F3" w:rsidSect="00C07127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BDC5B" w14:textId="77777777" w:rsidR="008E6F25" w:rsidRDefault="008E6F25" w:rsidP="006547EF">
      <w:pPr>
        <w:spacing w:before="0" w:after="0"/>
      </w:pPr>
      <w:r>
        <w:separator/>
      </w:r>
    </w:p>
  </w:endnote>
  <w:endnote w:type="continuationSeparator" w:id="0">
    <w:p w14:paraId="54E3D921" w14:textId="77777777" w:rsidR="008E6F25" w:rsidRDefault="008E6F25" w:rsidP="006547EF">
      <w:pPr>
        <w:spacing w:before="0" w:after="0"/>
      </w:pPr>
      <w:r>
        <w:continuationSeparator/>
      </w:r>
    </w:p>
  </w:endnote>
  <w:endnote w:type="continuationNotice" w:id="1">
    <w:p w14:paraId="5DFBC75A" w14:textId="77777777" w:rsidR="008E6F25" w:rsidRDefault="008E6F25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yp Colt CZ"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BADFCFB-6992-4C5E-BDC5-5D0DAE0952CB}"/>
    <w:embedBold r:id="rId2" w:fontKey="{15E7E0A6-63E8-4C85-BA91-9A06D9BC110B}"/>
    <w:embedItalic r:id="rId3" w:fontKey="{7D9116F7-76EB-4B8D-BAA8-BC35C2B83A36}"/>
    <w:embedBoldItalic r:id="rId4" w:fontKey="{B86C6115-C02B-4F3E-A975-F4BAF5C6AC54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4B90D3F-6AC4-4C8A-960B-18ADA92FDDC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4AC797C4-F703-4425-9527-CB0E5594EA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1736917"/>
      <w:docPartObj>
        <w:docPartGallery w:val="Page Numbers (Bottom of Page)"/>
        <w:docPartUnique/>
      </w:docPartObj>
    </w:sdtPr>
    <w:sdtContent>
      <w:p w14:paraId="18F07477" w14:textId="709C8DE3" w:rsidR="00C07127" w:rsidRDefault="00C07127">
        <w:pPr>
          <w:pStyle w:val="Zpat"/>
          <w:jc w:val="right"/>
        </w:pPr>
      </w:p>
      <w:p w14:paraId="5BB0AE34" w14:textId="76605C7B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EF4D8" w14:textId="0A9C93B0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="009F2FAE">
      <w:rPr>
        <w:rFonts w:eastAsiaTheme="minorHAnsi" w:cstheme="minorBidi"/>
        <w:sz w:val="14"/>
        <w:szCs w:val="14"/>
      </w:rPr>
      <w:t xml:space="preserve">náměstí Republiky </w:t>
    </w:r>
    <w:r w:rsidR="009F2FAE" w:rsidRPr="009F2FAE">
      <w:rPr>
        <w:rFonts w:eastAsiaTheme="minorHAnsi" w:cstheme="minorBidi"/>
        <w:sz w:val="14"/>
        <w:szCs w:val="14"/>
      </w:rPr>
      <w:t>2090/</w:t>
    </w:r>
    <w:proofErr w:type="gramStart"/>
    <w:r w:rsidR="009F2FAE" w:rsidRPr="009F2FAE">
      <w:rPr>
        <w:rFonts w:eastAsiaTheme="minorHAnsi" w:cstheme="minorBidi"/>
        <w:sz w:val="14"/>
        <w:szCs w:val="14"/>
      </w:rPr>
      <w:t>3a</w:t>
    </w:r>
    <w:proofErr w:type="gramEnd"/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7EC3FEB2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C89B7" w14:textId="77777777" w:rsidR="008E6F25" w:rsidRDefault="008E6F25" w:rsidP="006547EF">
      <w:pPr>
        <w:spacing w:before="0" w:after="0"/>
      </w:pPr>
      <w:r>
        <w:separator/>
      </w:r>
    </w:p>
  </w:footnote>
  <w:footnote w:type="continuationSeparator" w:id="0">
    <w:p w14:paraId="5A605DD2" w14:textId="77777777" w:rsidR="008E6F25" w:rsidRDefault="008E6F25" w:rsidP="006547EF">
      <w:pPr>
        <w:spacing w:before="0" w:after="0"/>
      </w:pPr>
      <w:r>
        <w:continuationSeparator/>
      </w:r>
    </w:p>
  </w:footnote>
  <w:footnote w:type="continuationNotice" w:id="1">
    <w:p w14:paraId="10275EEF" w14:textId="77777777" w:rsidR="008E6F25" w:rsidRDefault="008E6F25">
      <w:pPr>
        <w:spacing w:before="0" w:after="0"/>
      </w:pPr>
    </w:p>
  </w:footnote>
  <w:footnote w:id="2">
    <w:p w14:paraId="09008883" w14:textId="7A0E4541" w:rsidR="00A10C75" w:rsidRPr="00A10C75" w:rsidRDefault="00A10C75">
      <w:pPr>
        <w:pStyle w:val="Textpoznpodarou"/>
        <w:rPr>
          <w:sz w:val="16"/>
          <w:szCs w:val="16"/>
        </w:rPr>
      </w:pPr>
      <w:r w:rsidRPr="006742EC">
        <w:rPr>
          <w:rStyle w:val="Znakapoznpodarou"/>
          <w:sz w:val="16"/>
          <w:szCs w:val="16"/>
        </w:rPr>
        <w:footnoteRef/>
      </w:r>
      <w:r w:rsidRPr="006742EC">
        <w:rPr>
          <w:sz w:val="14"/>
          <w:szCs w:val="14"/>
        </w:rPr>
        <w:t xml:space="preserve"> Ukazatel EBITDA upravený </w:t>
      </w:r>
      <w:r w:rsidR="00616D85" w:rsidRPr="006742EC">
        <w:rPr>
          <w:sz w:val="14"/>
          <w:szCs w:val="14"/>
        </w:rPr>
        <w:t>v prvním pololetí 202</w:t>
      </w:r>
      <w:r w:rsidR="000670D6" w:rsidRPr="006742EC">
        <w:rPr>
          <w:sz w:val="14"/>
          <w:szCs w:val="14"/>
        </w:rPr>
        <w:t>3</w:t>
      </w:r>
      <w:r w:rsidR="00616D85" w:rsidRPr="006742EC">
        <w:rPr>
          <w:sz w:val="14"/>
          <w:szCs w:val="14"/>
        </w:rPr>
        <w:t xml:space="preserve"> </w:t>
      </w:r>
      <w:r w:rsidRPr="006742EC">
        <w:rPr>
          <w:sz w:val="14"/>
          <w:szCs w:val="14"/>
        </w:rPr>
        <w:t>o mimořádné jednorázové náklady spojené s</w:t>
      </w:r>
      <w:r w:rsidR="00616D85" w:rsidRPr="006742EC">
        <w:rPr>
          <w:sz w:val="14"/>
          <w:szCs w:val="14"/>
        </w:rPr>
        <w:t> </w:t>
      </w:r>
      <w:r w:rsidRPr="006742EC">
        <w:rPr>
          <w:sz w:val="14"/>
          <w:szCs w:val="14"/>
        </w:rPr>
        <w:t>akvizic</w:t>
      </w:r>
      <w:r w:rsidR="00616D85" w:rsidRPr="006742EC">
        <w:rPr>
          <w:sz w:val="14"/>
          <w:szCs w:val="14"/>
        </w:rPr>
        <w:t>emi roku 202</w:t>
      </w:r>
      <w:r w:rsidR="000670D6" w:rsidRPr="006742EC">
        <w:rPr>
          <w:sz w:val="14"/>
          <w:szCs w:val="14"/>
        </w:rPr>
        <w:t>3</w:t>
      </w:r>
      <w:r w:rsidR="007F7CFC" w:rsidRPr="006742EC">
        <w:rPr>
          <w:sz w:val="14"/>
          <w:szCs w:val="14"/>
        </w:rPr>
        <w:t xml:space="preserve">, </w:t>
      </w:r>
      <w:r w:rsidR="00B137B1" w:rsidRPr="006742EC">
        <w:rPr>
          <w:sz w:val="14"/>
          <w:szCs w:val="14"/>
        </w:rPr>
        <w:t xml:space="preserve">a </w:t>
      </w:r>
      <w:r w:rsidRPr="006742EC">
        <w:rPr>
          <w:sz w:val="14"/>
          <w:szCs w:val="14"/>
        </w:rPr>
        <w:t>o úhrady vázané na akcie v souvislosti se zaměstnaneckým opčním plánem, které obecně nesouvisejí s běžným hospodařením a tvorbou hodnoty v daném období.</w:t>
      </w:r>
    </w:p>
  </w:footnote>
  <w:footnote w:id="3">
    <w:p w14:paraId="1BBA20BD" w14:textId="77777777" w:rsidR="00C024F5" w:rsidRPr="006742EC" w:rsidRDefault="00C024F5" w:rsidP="00C024F5">
      <w:pPr>
        <w:pStyle w:val="Textpoznpodarou"/>
        <w:rPr>
          <w:sz w:val="18"/>
          <w:szCs w:val="18"/>
        </w:rPr>
      </w:pPr>
      <w:r w:rsidRPr="006742EC">
        <w:rPr>
          <w:rStyle w:val="Znakapoznpodarou"/>
          <w:sz w:val="18"/>
          <w:szCs w:val="18"/>
        </w:rPr>
        <w:footnoteRef/>
      </w:r>
      <w:r w:rsidRPr="006742EC">
        <w:rPr>
          <w:sz w:val="18"/>
          <w:szCs w:val="18"/>
        </w:rPr>
        <w:t xml:space="preserve"> </w:t>
      </w:r>
      <w:r w:rsidRPr="006742EC">
        <w:rPr>
          <w:sz w:val="14"/>
          <w:szCs w:val="14"/>
        </w:rPr>
        <w:t xml:space="preserve">Upravený výsledek hospodaření v prvním pololetí roku 2023 o mimořádné jednorázové náklady spojené s akvizicemi, úhradami vázanými na akcie v souvislosti se zaměstnaneckým opčním plánem a o přecenění podmíněné protihodnoty za akvizici </w:t>
      </w:r>
      <w:proofErr w:type="spellStart"/>
      <w:r w:rsidRPr="006742EC">
        <w:rPr>
          <w:sz w:val="14"/>
          <w:szCs w:val="14"/>
        </w:rPr>
        <w:t>Coltu</w:t>
      </w:r>
      <w:proofErr w:type="spellEnd"/>
      <w:r w:rsidRPr="006742EC">
        <w:rPr>
          <w:sz w:val="14"/>
          <w:szCs w:val="14"/>
        </w:rPr>
        <w:t xml:space="preserve"> na tržní cenu a náklady na emisi dluhopisů, které obecně nesouvisejí s běžným hospodařením a tvorbou hodnoty v daném období.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871B9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639EC1DD" wp14:editId="5C8024DC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90DCD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3B12E324" wp14:editId="5EA0A009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8823F70"/>
    <w:multiLevelType w:val="hybridMultilevel"/>
    <w:tmpl w:val="C5BAE2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4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5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7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9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247307243">
    <w:abstractNumId w:val="1"/>
  </w:num>
  <w:num w:numId="2" w16cid:durableId="1469392834">
    <w:abstractNumId w:val="1"/>
  </w:num>
  <w:num w:numId="3" w16cid:durableId="652611446">
    <w:abstractNumId w:val="15"/>
  </w:num>
  <w:num w:numId="4" w16cid:durableId="692266191">
    <w:abstractNumId w:val="9"/>
  </w:num>
  <w:num w:numId="5" w16cid:durableId="1637834495">
    <w:abstractNumId w:val="13"/>
  </w:num>
  <w:num w:numId="6" w16cid:durableId="1627614482">
    <w:abstractNumId w:val="7"/>
  </w:num>
  <w:num w:numId="7" w16cid:durableId="704721881">
    <w:abstractNumId w:val="17"/>
  </w:num>
  <w:num w:numId="8" w16cid:durableId="580335469">
    <w:abstractNumId w:val="14"/>
  </w:num>
  <w:num w:numId="9" w16cid:durableId="502168837">
    <w:abstractNumId w:val="1"/>
  </w:num>
  <w:num w:numId="10" w16cid:durableId="369693464">
    <w:abstractNumId w:val="10"/>
  </w:num>
  <w:num w:numId="11" w16cid:durableId="929655243">
    <w:abstractNumId w:val="10"/>
  </w:num>
  <w:num w:numId="12" w16cid:durableId="554463392">
    <w:abstractNumId w:val="1"/>
  </w:num>
  <w:num w:numId="13" w16cid:durableId="1443764732">
    <w:abstractNumId w:val="1"/>
  </w:num>
  <w:num w:numId="14" w16cid:durableId="732699737">
    <w:abstractNumId w:val="15"/>
  </w:num>
  <w:num w:numId="15" w16cid:durableId="2067680703">
    <w:abstractNumId w:val="9"/>
  </w:num>
  <w:num w:numId="16" w16cid:durableId="5596666">
    <w:abstractNumId w:val="13"/>
  </w:num>
  <w:num w:numId="17" w16cid:durableId="1689597564">
    <w:abstractNumId w:val="7"/>
  </w:num>
  <w:num w:numId="18" w16cid:durableId="71977859">
    <w:abstractNumId w:val="17"/>
  </w:num>
  <w:num w:numId="19" w16cid:durableId="1113745777">
    <w:abstractNumId w:val="14"/>
  </w:num>
  <w:num w:numId="20" w16cid:durableId="1588886108">
    <w:abstractNumId w:val="6"/>
  </w:num>
  <w:num w:numId="21" w16cid:durableId="173810326">
    <w:abstractNumId w:val="19"/>
  </w:num>
  <w:num w:numId="22" w16cid:durableId="198670870">
    <w:abstractNumId w:val="7"/>
    <w:lvlOverride w:ilvl="0">
      <w:startOverride w:val="1"/>
    </w:lvlOverride>
  </w:num>
  <w:num w:numId="23" w16cid:durableId="666786155">
    <w:abstractNumId w:val="12"/>
  </w:num>
  <w:num w:numId="24" w16cid:durableId="2031561598">
    <w:abstractNumId w:val="2"/>
  </w:num>
  <w:num w:numId="25" w16cid:durableId="1928339300">
    <w:abstractNumId w:val="0"/>
  </w:num>
  <w:num w:numId="26" w16cid:durableId="4160945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423525548">
    <w:abstractNumId w:val="4"/>
  </w:num>
  <w:num w:numId="28" w16cid:durableId="1373993609">
    <w:abstractNumId w:val="5"/>
  </w:num>
  <w:num w:numId="29" w16cid:durableId="15967923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74656380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04493129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2" w16cid:durableId="843590773">
    <w:abstractNumId w:val="16"/>
  </w:num>
  <w:num w:numId="33" w16cid:durableId="1154371810">
    <w:abstractNumId w:val="7"/>
    <w:lvlOverride w:ilvl="0">
      <w:startOverride w:val="1"/>
    </w:lvlOverride>
  </w:num>
  <w:num w:numId="34" w16cid:durableId="24717725">
    <w:abstractNumId w:val="7"/>
    <w:lvlOverride w:ilvl="0">
      <w:startOverride w:val="1"/>
    </w:lvlOverride>
  </w:num>
  <w:num w:numId="35" w16cid:durableId="1853883779">
    <w:abstractNumId w:val="7"/>
    <w:lvlOverride w:ilvl="0">
      <w:startOverride w:val="1"/>
    </w:lvlOverride>
  </w:num>
  <w:num w:numId="36" w16cid:durableId="1006633449">
    <w:abstractNumId w:val="7"/>
    <w:lvlOverride w:ilvl="0">
      <w:startOverride w:val="1"/>
    </w:lvlOverride>
  </w:num>
  <w:num w:numId="37" w16cid:durableId="1176725445">
    <w:abstractNumId w:val="7"/>
    <w:lvlOverride w:ilvl="0">
      <w:startOverride w:val="1"/>
    </w:lvlOverride>
  </w:num>
  <w:num w:numId="38" w16cid:durableId="506754755">
    <w:abstractNumId w:val="7"/>
    <w:lvlOverride w:ilvl="0">
      <w:startOverride w:val="1"/>
    </w:lvlOverride>
  </w:num>
  <w:num w:numId="39" w16cid:durableId="198589889">
    <w:abstractNumId w:val="7"/>
    <w:lvlOverride w:ilvl="0">
      <w:startOverride w:val="1"/>
    </w:lvlOverride>
  </w:num>
  <w:num w:numId="40" w16cid:durableId="650254250">
    <w:abstractNumId w:val="7"/>
    <w:lvlOverride w:ilvl="0">
      <w:startOverride w:val="1"/>
    </w:lvlOverride>
  </w:num>
  <w:num w:numId="41" w16cid:durableId="548305365">
    <w:abstractNumId w:val="7"/>
    <w:lvlOverride w:ilvl="0">
      <w:startOverride w:val="1"/>
    </w:lvlOverride>
  </w:num>
  <w:num w:numId="42" w16cid:durableId="930817954">
    <w:abstractNumId w:val="7"/>
    <w:lvlOverride w:ilvl="0">
      <w:startOverride w:val="1"/>
    </w:lvlOverride>
  </w:num>
  <w:num w:numId="43" w16cid:durableId="1486774548">
    <w:abstractNumId w:val="15"/>
    <w:lvlOverride w:ilvl="0">
      <w:startOverride w:val="1"/>
    </w:lvlOverride>
  </w:num>
  <w:num w:numId="44" w16cid:durableId="997197796">
    <w:abstractNumId w:val="15"/>
    <w:lvlOverride w:ilvl="0">
      <w:startOverride w:val="1"/>
    </w:lvlOverride>
  </w:num>
  <w:num w:numId="45" w16cid:durableId="181162832">
    <w:abstractNumId w:val="11"/>
  </w:num>
  <w:num w:numId="46" w16cid:durableId="143131372">
    <w:abstractNumId w:val="5"/>
    <w:lvlOverride w:ilvl="0">
      <w:startOverride w:val="1"/>
    </w:lvlOverride>
  </w:num>
  <w:num w:numId="47" w16cid:durableId="1575163566">
    <w:abstractNumId w:val="3"/>
  </w:num>
  <w:num w:numId="48" w16cid:durableId="1268345257">
    <w:abstractNumId w:val="20"/>
  </w:num>
  <w:num w:numId="49" w16cid:durableId="454835841">
    <w:abstractNumId w:val="18"/>
  </w:num>
  <w:num w:numId="50" w16cid:durableId="1206526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74E"/>
    <w:rsid w:val="000009DF"/>
    <w:rsid w:val="0000148F"/>
    <w:rsid w:val="00007CAA"/>
    <w:rsid w:val="0001238C"/>
    <w:rsid w:val="00013FE3"/>
    <w:rsid w:val="0001583C"/>
    <w:rsid w:val="00020972"/>
    <w:rsid w:val="00040655"/>
    <w:rsid w:val="00051C85"/>
    <w:rsid w:val="00062CF0"/>
    <w:rsid w:val="00064D2F"/>
    <w:rsid w:val="000670D6"/>
    <w:rsid w:val="00067C03"/>
    <w:rsid w:val="000876B8"/>
    <w:rsid w:val="0009794C"/>
    <w:rsid w:val="00097DF8"/>
    <w:rsid w:val="000A1A4D"/>
    <w:rsid w:val="000D4999"/>
    <w:rsid w:val="000D4D95"/>
    <w:rsid w:val="000F0830"/>
    <w:rsid w:val="000F12DC"/>
    <w:rsid w:val="000F7895"/>
    <w:rsid w:val="0011114F"/>
    <w:rsid w:val="0011484F"/>
    <w:rsid w:val="0011598F"/>
    <w:rsid w:val="00141ED8"/>
    <w:rsid w:val="00141EFD"/>
    <w:rsid w:val="001439B2"/>
    <w:rsid w:val="00154F03"/>
    <w:rsid w:val="001737A3"/>
    <w:rsid w:val="0019562A"/>
    <w:rsid w:val="001A0C56"/>
    <w:rsid w:val="001A5AAA"/>
    <w:rsid w:val="001C43BF"/>
    <w:rsid w:val="001C5673"/>
    <w:rsid w:val="001D5EAC"/>
    <w:rsid w:val="001E34DD"/>
    <w:rsid w:val="001E588E"/>
    <w:rsid w:val="001E6E8C"/>
    <w:rsid w:val="001F459C"/>
    <w:rsid w:val="0020291C"/>
    <w:rsid w:val="0023142B"/>
    <w:rsid w:val="002437B4"/>
    <w:rsid w:val="00253DC5"/>
    <w:rsid w:val="00261491"/>
    <w:rsid w:val="00273164"/>
    <w:rsid w:val="00275336"/>
    <w:rsid w:val="00275C82"/>
    <w:rsid w:val="002912E4"/>
    <w:rsid w:val="002B4FA7"/>
    <w:rsid w:val="002B60FE"/>
    <w:rsid w:val="002C4D09"/>
    <w:rsid w:val="002C54F7"/>
    <w:rsid w:val="002D1D6E"/>
    <w:rsid w:val="002E6C7C"/>
    <w:rsid w:val="002F2856"/>
    <w:rsid w:val="002F4E46"/>
    <w:rsid w:val="002F5210"/>
    <w:rsid w:val="002F7E0C"/>
    <w:rsid w:val="003036C3"/>
    <w:rsid w:val="0031AFE4"/>
    <w:rsid w:val="00320849"/>
    <w:rsid w:val="00320E15"/>
    <w:rsid w:val="00336527"/>
    <w:rsid w:val="003401CE"/>
    <w:rsid w:val="0034239F"/>
    <w:rsid w:val="00343E43"/>
    <w:rsid w:val="003511E1"/>
    <w:rsid w:val="00354949"/>
    <w:rsid w:val="00360E35"/>
    <w:rsid w:val="00363EE6"/>
    <w:rsid w:val="00364F2B"/>
    <w:rsid w:val="00365414"/>
    <w:rsid w:val="00367979"/>
    <w:rsid w:val="00377A96"/>
    <w:rsid w:val="00382F60"/>
    <w:rsid w:val="003A1645"/>
    <w:rsid w:val="003A27E3"/>
    <w:rsid w:val="003C3791"/>
    <w:rsid w:val="003E30CC"/>
    <w:rsid w:val="003F4255"/>
    <w:rsid w:val="003F7082"/>
    <w:rsid w:val="00417701"/>
    <w:rsid w:val="00432AB6"/>
    <w:rsid w:val="004337A5"/>
    <w:rsid w:val="00445C96"/>
    <w:rsid w:val="004612C1"/>
    <w:rsid w:val="004637FF"/>
    <w:rsid w:val="00471E2F"/>
    <w:rsid w:val="004725A6"/>
    <w:rsid w:val="004764AD"/>
    <w:rsid w:val="0049019E"/>
    <w:rsid w:val="00496F66"/>
    <w:rsid w:val="004A0B6E"/>
    <w:rsid w:val="004B0D1E"/>
    <w:rsid w:val="004B111C"/>
    <w:rsid w:val="004C012B"/>
    <w:rsid w:val="004D585B"/>
    <w:rsid w:val="004E2B34"/>
    <w:rsid w:val="004E7C09"/>
    <w:rsid w:val="004F064E"/>
    <w:rsid w:val="004F68EC"/>
    <w:rsid w:val="00500F28"/>
    <w:rsid w:val="005166BE"/>
    <w:rsid w:val="00541F91"/>
    <w:rsid w:val="0055429A"/>
    <w:rsid w:val="00560677"/>
    <w:rsid w:val="00577910"/>
    <w:rsid w:val="00581E89"/>
    <w:rsid w:val="00590709"/>
    <w:rsid w:val="0059405D"/>
    <w:rsid w:val="005959B0"/>
    <w:rsid w:val="005A0DF0"/>
    <w:rsid w:val="005A2D01"/>
    <w:rsid w:val="005A3A54"/>
    <w:rsid w:val="005C00EE"/>
    <w:rsid w:val="005D3D50"/>
    <w:rsid w:val="005D5074"/>
    <w:rsid w:val="00604D69"/>
    <w:rsid w:val="00616D85"/>
    <w:rsid w:val="0061745C"/>
    <w:rsid w:val="00641AE8"/>
    <w:rsid w:val="006503F9"/>
    <w:rsid w:val="006547EF"/>
    <w:rsid w:val="00661C01"/>
    <w:rsid w:val="00671C35"/>
    <w:rsid w:val="006742EC"/>
    <w:rsid w:val="006772FA"/>
    <w:rsid w:val="00682C36"/>
    <w:rsid w:val="00686085"/>
    <w:rsid w:val="006865CB"/>
    <w:rsid w:val="00695BC4"/>
    <w:rsid w:val="00696816"/>
    <w:rsid w:val="006C0A2C"/>
    <w:rsid w:val="006C35D2"/>
    <w:rsid w:val="006D3224"/>
    <w:rsid w:val="006F5BA9"/>
    <w:rsid w:val="007006D1"/>
    <w:rsid w:val="00702204"/>
    <w:rsid w:val="007031A5"/>
    <w:rsid w:val="00707179"/>
    <w:rsid w:val="007201A6"/>
    <w:rsid w:val="00721002"/>
    <w:rsid w:val="00744F49"/>
    <w:rsid w:val="00745085"/>
    <w:rsid w:val="007506E3"/>
    <w:rsid w:val="007619C9"/>
    <w:rsid w:val="00761FDD"/>
    <w:rsid w:val="0076357C"/>
    <w:rsid w:val="00766696"/>
    <w:rsid w:val="0078610A"/>
    <w:rsid w:val="007A3121"/>
    <w:rsid w:val="007B6DEB"/>
    <w:rsid w:val="007D0463"/>
    <w:rsid w:val="007D4040"/>
    <w:rsid w:val="007F7CFC"/>
    <w:rsid w:val="00826338"/>
    <w:rsid w:val="00846B9C"/>
    <w:rsid w:val="00852156"/>
    <w:rsid w:val="00857D92"/>
    <w:rsid w:val="00870156"/>
    <w:rsid w:val="008812D4"/>
    <w:rsid w:val="00894C2D"/>
    <w:rsid w:val="008954C7"/>
    <w:rsid w:val="008A0F5A"/>
    <w:rsid w:val="008D092D"/>
    <w:rsid w:val="008D1B85"/>
    <w:rsid w:val="008E6F25"/>
    <w:rsid w:val="0090311C"/>
    <w:rsid w:val="0091083A"/>
    <w:rsid w:val="00910BE4"/>
    <w:rsid w:val="009150A2"/>
    <w:rsid w:val="009171EA"/>
    <w:rsid w:val="00917808"/>
    <w:rsid w:val="009246A6"/>
    <w:rsid w:val="00931424"/>
    <w:rsid w:val="00936C84"/>
    <w:rsid w:val="0094411F"/>
    <w:rsid w:val="00955D96"/>
    <w:rsid w:val="0096609D"/>
    <w:rsid w:val="00974591"/>
    <w:rsid w:val="00974843"/>
    <w:rsid w:val="00975C01"/>
    <w:rsid w:val="0098762D"/>
    <w:rsid w:val="0099143C"/>
    <w:rsid w:val="00993FAA"/>
    <w:rsid w:val="009A743B"/>
    <w:rsid w:val="009C34C4"/>
    <w:rsid w:val="009D0F42"/>
    <w:rsid w:val="009D13A4"/>
    <w:rsid w:val="009D2C9E"/>
    <w:rsid w:val="009D4592"/>
    <w:rsid w:val="009F1B40"/>
    <w:rsid w:val="009F2FAE"/>
    <w:rsid w:val="009F58BB"/>
    <w:rsid w:val="00A01F55"/>
    <w:rsid w:val="00A10C75"/>
    <w:rsid w:val="00A27A78"/>
    <w:rsid w:val="00A318E9"/>
    <w:rsid w:val="00A364A3"/>
    <w:rsid w:val="00A57DAD"/>
    <w:rsid w:val="00A75B49"/>
    <w:rsid w:val="00A87513"/>
    <w:rsid w:val="00A956B4"/>
    <w:rsid w:val="00AA576E"/>
    <w:rsid w:val="00AB4595"/>
    <w:rsid w:val="00AB5B5B"/>
    <w:rsid w:val="00AC70AE"/>
    <w:rsid w:val="00AC7503"/>
    <w:rsid w:val="00AE18E6"/>
    <w:rsid w:val="00AF3148"/>
    <w:rsid w:val="00B03113"/>
    <w:rsid w:val="00B05017"/>
    <w:rsid w:val="00B137B1"/>
    <w:rsid w:val="00B162AF"/>
    <w:rsid w:val="00B167A9"/>
    <w:rsid w:val="00B2147A"/>
    <w:rsid w:val="00B24395"/>
    <w:rsid w:val="00B31869"/>
    <w:rsid w:val="00B32AE9"/>
    <w:rsid w:val="00B41F73"/>
    <w:rsid w:val="00B42A27"/>
    <w:rsid w:val="00B53499"/>
    <w:rsid w:val="00B551D0"/>
    <w:rsid w:val="00B64F9F"/>
    <w:rsid w:val="00B7225F"/>
    <w:rsid w:val="00B819F3"/>
    <w:rsid w:val="00B9174E"/>
    <w:rsid w:val="00B962A0"/>
    <w:rsid w:val="00BE1EB2"/>
    <w:rsid w:val="00BE47BD"/>
    <w:rsid w:val="00BE48A1"/>
    <w:rsid w:val="00BE48BB"/>
    <w:rsid w:val="00BF131E"/>
    <w:rsid w:val="00BF5574"/>
    <w:rsid w:val="00C01FE8"/>
    <w:rsid w:val="00C024F5"/>
    <w:rsid w:val="00C03272"/>
    <w:rsid w:val="00C07127"/>
    <w:rsid w:val="00C07BB5"/>
    <w:rsid w:val="00C32442"/>
    <w:rsid w:val="00C34074"/>
    <w:rsid w:val="00C52920"/>
    <w:rsid w:val="00C56BFA"/>
    <w:rsid w:val="00C73968"/>
    <w:rsid w:val="00C873EF"/>
    <w:rsid w:val="00C9232A"/>
    <w:rsid w:val="00C929CD"/>
    <w:rsid w:val="00C96072"/>
    <w:rsid w:val="00C97729"/>
    <w:rsid w:val="00CA6AA3"/>
    <w:rsid w:val="00CA7AA8"/>
    <w:rsid w:val="00CB34B6"/>
    <w:rsid w:val="00CC53D0"/>
    <w:rsid w:val="00CD01DB"/>
    <w:rsid w:val="00CD4C3A"/>
    <w:rsid w:val="00CD6F27"/>
    <w:rsid w:val="00CE2EA4"/>
    <w:rsid w:val="00CE7145"/>
    <w:rsid w:val="00CF019B"/>
    <w:rsid w:val="00D0385E"/>
    <w:rsid w:val="00D149E1"/>
    <w:rsid w:val="00D445B4"/>
    <w:rsid w:val="00D47870"/>
    <w:rsid w:val="00D7015C"/>
    <w:rsid w:val="00D82DB4"/>
    <w:rsid w:val="00D8351E"/>
    <w:rsid w:val="00D965D3"/>
    <w:rsid w:val="00DA2AB6"/>
    <w:rsid w:val="00DB1247"/>
    <w:rsid w:val="00DB3E34"/>
    <w:rsid w:val="00DC0331"/>
    <w:rsid w:val="00DC41AE"/>
    <w:rsid w:val="00DC44C2"/>
    <w:rsid w:val="00DD1FE6"/>
    <w:rsid w:val="00DD302E"/>
    <w:rsid w:val="00DD369D"/>
    <w:rsid w:val="00DD5580"/>
    <w:rsid w:val="00DE1791"/>
    <w:rsid w:val="00DE4367"/>
    <w:rsid w:val="00DE5D19"/>
    <w:rsid w:val="00E01250"/>
    <w:rsid w:val="00E06658"/>
    <w:rsid w:val="00E0739B"/>
    <w:rsid w:val="00E11853"/>
    <w:rsid w:val="00E1471D"/>
    <w:rsid w:val="00E22375"/>
    <w:rsid w:val="00E22853"/>
    <w:rsid w:val="00E3774A"/>
    <w:rsid w:val="00E43323"/>
    <w:rsid w:val="00E703CE"/>
    <w:rsid w:val="00E7379C"/>
    <w:rsid w:val="00E76942"/>
    <w:rsid w:val="00E8771D"/>
    <w:rsid w:val="00E91C3A"/>
    <w:rsid w:val="00EA1C49"/>
    <w:rsid w:val="00EA33ED"/>
    <w:rsid w:val="00EA3F3E"/>
    <w:rsid w:val="00EB0D1F"/>
    <w:rsid w:val="00EB21C9"/>
    <w:rsid w:val="00EC02BF"/>
    <w:rsid w:val="00EC2CEC"/>
    <w:rsid w:val="00EC7039"/>
    <w:rsid w:val="00EC7F31"/>
    <w:rsid w:val="00ED5886"/>
    <w:rsid w:val="00EE4923"/>
    <w:rsid w:val="00EF1FA1"/>
    <w:rsid w:val="00F07D22"/>
    <w:rsid w:val="00F107A9"/>
    <w:rsid w:val="00F17FFD"/>
    <w:rsid w:val="00F25541"/>
    <w:rsid w:val="00F31E56"/>
    <w:rsid w:val="00F42AA7"/>
    <w:rsid w:val="00F4324C"/>
    <w:rsid w:val="00F4476E"/>
    <w:rsid w:val="00F533C5"/>
    <w:rsid w:val="00F72B89"/>
    <w:rsid w:val="00F92E81"/>
    <w:rsid w:val="00FB3201"/>
    <w:rsid w:val="00FC548C"/>
    <w:rsid w:val="00FC55FA"/>
    <w:rsid w:val="00FC7A29"/>
    <w:rsid w:val="00FD6C5F"/>
    <w:rsid w:val="00FF782F"/>
    <w:rsid w:val="00FF7CBB"/>
    <w:rsid w:val="03B1D620"/>
    <w:rsid w:val="042CDB1E"/>
    <w:rsid w:val="05C9507F"/>
    <w:rsid w:val="066D17B3"/>
    <w:rsid w:val="068CBACC"/>
    <w:rsid w:val="06F0DD1D"/>
    <w:rsid w:val="0850F64D"/>
    <w:rsid w:val="08AA3063"/>
    <w:rsid w:val="0B6F6EB2"/>
    <w:rsid w:val="0F74A1DE"/>
    <w:rsid w:val="123C68ED"/>
    <w:rsid w:val="153BBF39"/>
    <w:rsid w:val="19D52C22"/>
    <w:rsid w:val="1A4D7852"/>
    <w:rsid w:val="1B85927C"/>
    <w:rsid w:val="1F6B7807"/>
    <w:rsid w:val="1FB0F631"/>
    <w:rsid w:val="202FDC94"/>
    <w:rsid w:val="212A07BE"/>
    <w:rsid w:val="23E630D9"/>
    <w:rsid w:val="24563663"/>
    <w:rsid w:val="26373D7D"/>
    <w:rsid w:val="27BC0816"/>
    <w:rsid w:val="27C3F59C"/>
    <w:rsid w:val="28A8FCA9"/>
    <w:rsid w:val="2A0AC01F"/>
    <w:rsid w:val="2ABCCCC7"/>
    <w:rsid w:val="2B3770D7"/>
    <w:rsid w:val="2C198CA9"/>
    <w:rsid w:val="2F1EEC8F"/>
    <w:rsid w:val="3012AA30"/>
    <w:rsid w:val="316AD7E2"/>
    <w:rsid w:val="316E4CB5"/>
    <w:rsid w:val="3306A843"/>
    <w:rsid w:val="34486172"/>
    <w:rsid w:val="35B7E79F"/>
    <w:rsid w:val="380756F8"/>
    <w:rsid w:val="388841B2"/>
    <w:rsid w:val="3B70FEC1"/>
    <w:rsid w:val="3B7F37DB"/>
    <w:rsid w:val="3C63F98D"/>
    <w:rsid w:val="3C94CB5A"/>
    <w:rsid w:val="3DB9D8B2"/>
    <w:rsid w:val="3E56A0A7"/>
    <w:rsid w:val="3FA591AA"/>
    <w:rsid w:val="408254BC"/>
    <w:rsid w:val="4116FD3B"/>
    <w:rsid w:val="4180FBAC"/>
    <w:rsid w:val="4552ED85"/>
    <w:rsid w:val="479D637B"/>
    <w:rsid w:val="49446BA3"/>
    <w:rsid w:val="49E644BE"/>
    <w:rsid w:val="4E208FCB"/>
    <w:rsid w:val="4F76D043"/>
    <w:rsid w:val="4F7DE149"/>
    <w:rsid w:val="503E9824"/>
    <w:rsid w:val="51458E12"/>
    <w:rsid w:val="540D8A6D"/>
    <w:rsid w:val="59C90478"/>
    <w:rsid w:val="5C1E8C28"/>
    <w:rsid w:val="5E2CEAFB"/>
    <w:rsid w:val="61F7362F"/>
    <w:rsid w:val="620F2293"/>
    <w:rsid w:val="6276A2FF"/>
    <w:rsid w:val="640A85DA"/>
    <w:rsid w:val="65EA5A75"/>
    <w:rsid w:val="6763DD0D"/>
    <w:rsid w:val="67748C02"/>
    <w:rsid w:val="6827BE5B"/>
    <w:rsid w:val="6EC5A790"/>
    <w:rsid w:val="6EC71476"/>
    <w:rsid w:val="6F3BFDAA"/>
    <w:rsid w:val="6F63EFB8"/>
    <w:rsid w:val="709D7C89"/>
    <w:rsid w:val="745727D0"/>
    <w:rsid w:val="766CF4B4"/>
    <w:rsid w:val="7749A8BA"/>
    <w:rsid w:val="775CAAF2"/>
    <w:rsid w:val="77A3FFEB"/>
    <w:rsid w:val="78C9AE23"/>
    <w:rsid w:val="7BF3DAEA"/>
    <w:rsid w:val="7C33A90F"/>
    <w:rsid w:val="7CCEF74D"/>
    <w:rsid w:val="7DCF7970"/>
    <w:rsid w:val="7DEC4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561950"/>
  <w15:chartTrackingRefBased/>
  <w15:docId w15:val="{BC7E265C-DFBF-4534-8757-3C25F8035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10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2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47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48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49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6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7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8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31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uiPriority w:val="99"/>
    <w:rsid w:val="00F92E81"/>
    <w:rPr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3A164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A1645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A1645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A164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A1645"/>
    <w:rPr>
      <w:rFonts w:ascii="Atyp Colt CZ" w:hAnsi="Atyp Colt CZ"/>
      <w:b/>
      <w:bCs/>
    </w:rPr>
  </w:style>
  <w:style w:type="character" w:styleId="Zmnka">
    <w:name w:val="Mention"/>
    <w:basedOn w:val="Standardnpsmoodstavce"/>
    <w:uiPriority w:val="99"/>
    <w:unhideWhenUsed/>
    <w:rsid w:val="00DC41AE"/>
    <w:rPr>
      <w:color w:val="2B579A"/>
      <w:shd w:val="clear" w:color="auto" w:fill="E1DFDD"/>
    </w:rPr>
  </w:style>
  <w:style w:type="paragraph" w:styleId="Revize">
    <w:name w:val="Revision"/>
    <w:hidden/>
    <w:uiPriority w:val="99"/>
    <w:semiHidden/>
    <w:rsid w:val="001E34DD"/>
    <w:rPr>
      <w:rFonts w:ascii="Atyp Colt CZ" w:hAnsi="Atyp Colt CZ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9178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8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dia@coltczgroup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97cfce-db15-4d46-b574-5ead264874a8" xsi:nil="true"/>
    <lcf76f155ced4ddcb4097134ff3c332f xmlns="9d3eee87-ef8c-413e-a8d3-4745f26df62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278B27A32C1D428EA3579BA5F17923" ma:contentTypeVersion="17" ma:contentTypeDescription="Vytvoří nový dokument" ma:contentTypeScope="" ma:versionID="bb672c78716bae2b9221154f6dd79217">
  <xsd:schema xmlns:xsd="http://www.w3.org/2001/XMLSchema" xmlns:xs="http://www.w3.org/2001/XMLSchema" xmlns:p="http://schemas.microsoft.com/office/2006/metadata/properties" xmlns:ns2="9d3eee87-ef8c-413e-a8d3-4745f26df625" xmlns:ns3="c697cfce-db15-4d46-b574-5ead264874a8" targetNamespace="http://schemas.microsoft.com/office/2006/metadata/properties" ma:root="true" ma:fieldsID="4b92374e438b780b9f0331663f6ed5a4" ns2:_="" ns3:_="">
    <xsd:import namespace="9d3eee87-ef8c-413e-a8d3-4745f26df625"/>
    <xsd:import namespace="c697cfce-db15-4d46-b574-5ead264874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eee87-ef8c-413e-a8d3-4745f26df6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edeee852-b1e8-43a3-9a8c-e309434119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97cfce-db15-4d46-b574-5ead264874a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3c5016-85f8-41f4-9a8a-295438767c4e}" ma:internalName="TaxCatchAll" ma:showField="CatchAllData" ma:web="c697cfce-db15-4d46-b574-5ead264874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B2E46-EF50-4C8A-A486-5630DE197421}">
  <ds:schemaRefs>
    <ds:schemaRef ds:uri="http://schemas.microsoft.com/office/2006/metadata/properties"/>
    <ds:schemaRef ds:uri="http://schemas.microsoft.com/office/infopath/2007/PartnerControls"/>
    <ds:schemaRef ds:uri="c697cfce-db15-4d46-b574-5ead264874a8"/>
    <ds:schemaRef ds:uri="9d3eee87-ef8c-413e-a8d3-4745f26df625"/>
  </ds:schemaRefs>
</ds:datastoreItem>
</file>

<file path=customXml/itemProps2.xml><?xml version="1.0" encoding="utf-8"?>
<ds:datastoreItem xmlns:ds="http://schemas.openxmlformats.org/officeDocument/2006/customXml" ds:itemID="{54D9080E-43B1-4A76-9079-11589DBEEB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3eee87-ef8c-413e-a8d3-4745f26df625"/>
    <ds:schemaRef ds:uri="c697cfce-db15-4d46-b574-5ead264874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E67F35-0AEE-4675-9D68-064FC97576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811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5586</CharactersWithSpaces>
  <SharedDoc>false</SharedDoc>
  <HLinks>
    <vt:vector size="6" baseType="variant">
      <vt:variant>
        <vt:i4>1048609</vt:i4>
      </vt:variant>
      <vt:variant>
        <vt:i4>0</vt:i4>
      </vt:variant>
      <vt:variant>
        <vt:i4>0</vt:i4>
      </vt:variant>
      <vt:variant>
        <vt:i4>5</vt:i4>
      </vt:variant>
      <vt:variant>
        <vt:lpwstr>mailto:media@coltczgroup.com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Patzner Dominik</cp:lastModifiedBy>
  <cp:revision>3</cp:revision>
  <dcterms:created xsi:type="dcterms:W3CDTF">2023-09-18T14:18:00Z</dcterms:created>
  <dcterms:modified xsi:type="dcterms:W3CDTF">2023-09-19T05:18:00Z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0x01010084278B27A32C1D428EA3579BA5F17923</vt:lpwstr>
  </property>
  <property fmtid="{D5CDD505-2E9C-101B-9397-08002B2CF9AE}" pid="3" name="Order">
    <vt:r8>17900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