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14CD1" w14:textId="77777777" w:rsidR="00D445B4" w:rsidRDefault="00D445B4" w:rsidP="00D445B4">
      <w:pPr>
        <w:pStyle w:val="Bezmezer"/>
        <w:jc w:val="right"/>
        <w:rPr>
          <w:b/>
          <w:bCs/>
          <w:szCs w:val="22"/>
          <w:u w:val="single"/>
        </w:rPr>
      </w:pPr>
      <w:r>
        <w:rPr>
          <w:b/>
          <w:bCs/>
        </w:rPr>
        <w:t>TISKOVÁ ZPRÁVA</w:t>
      </w:r>
    </w:p>
    <w:p w14:paraId="3E3FD1DC" w14:textId="19E4DA00" w:rsidR="006547EF" w:rsidRPr="000F7895" w:rsidRDefault="006D3224" w:rsidP="00020972">
      <w:pPr>
        <w:pStyle w:val="Nazev"/>
        <w:jc w:val="center"/>
      </w:pPr>
      <w:proofErr w:type="spellStart"/>
      <w:r>
        <w:t>Colt</w:t>
      </w:r>
      <w:proofErr w:type="spellEnd"/>
      <w:r>
        <w:t xml:space="preserve"> CZ Group </w:t>
      </w:r>
      <w:r w:rsidR="003F7082">
        <w:t xml:space="preserve">SE </w:t>
      </w:r>
      <w:r w:rsidR="004E2B34">
        <w:t xml:space="preserve">v prvním pololetí </w:t>
      </w:r>
      <w:r w:rsidR="00D445B4">
        <w:t xml:space="preserve">2022 </w:t>
      </w:r>
      <w:r w:rsidR="004E2B34">
        <w:t>zvýšila výnosy meziročně o 4</w:t>
      </w:r>
      <w:r w:rsidR="00D445B4">
        <w:t>9</w:t>
      </w:r>
      <w:r w:rsidR="004E2B34">
        <w:t xml:space="preserve"> procent a čistý zisk o </w:t>
      </w:r>
      <w:r w:rsidR="00D445B4">
        <w:t>88</w:t>
      </w:r>
      <w:r w:rsidR="004E2B34">
        <w:t xml:space="preserve"> procent</w:t>
      </w:r>
    </w:p>
    <w:p w14:paraId="37DFCA46" w14:textId="32C25FBF" w:rsidR="004D585B" w:rsidRPr="00FC55FA" w:rsidRDefault="003036C3" w:rsidP="00FC55FA">
      <w:r w:rsidRPr="7DCF7970">
        <w:rPr>
          <w:b/>
          <w:bCs/>
        </w:rPr>
        <w:t>Praha (</w:t>
      </w:r>
      <w:r w:rsidR="00CD6F27">
        <w:rPr>
          <w:b/>
          <w:bCs/>
        </w:rPr>
        <w:t>22</w:t>
      </w:r>
      <w:r w:rsidR="0099143C" w:rsidRPr="7DCF7970">
        <w:rPr>
          <w:b/>
          <w:bCs/>
        </w:rPr>
        <w:t>. září 2022)</w:t>
      </w:r>
      <w:r w:rsidR="0099143C">
        <w:t xml:space="preserve"> — </w:t>
      </w:r>
      <w:proofErr w:type="spellStart"/>
      <w:r w:rsidR="00C873EF">
        <w:t>Colt</w:t>
      </w:r>
      <w:proofErr w:type="spellEnd"/>
      <w:r w:rsidR="00C873EF">
        <w:t xml:space="preserve"> CZ Group SE (dále jen „</w:t>
      </w:r>
      <w:proofErr w:type="spellStart"/>
      <w:r w:rsidR="00C873EF">
        <w:t>Colt</w:t>
      </w:r>
      <w:proofErr w:type="spellEnd"/>
      <w:r w:rsidR="00C873EF">
        <w:t xml:space="preserve"> CZ“ nebo „Společnost“ a společně se svými dceřinými společnostmi „Skupina“) </w:t>
      </w:r>
      <w:r w:rsidR="00D47870">
        <w:t>vykázala v prvních šesti měsících letošního roku růst ve všech klíčových ukazatelích</w:t>
      </w:r>
      <w:r w:rsidR="003E30CC">
        <w:t>.</w:t>
      </w:r>
      <w:r w:rsidR="005A2D01">
        <w:t xml:space="preserve"> </w:t>
      </w:r>
      <w:r w:rsidR="00B05017">
        <w:t>P</w:t>
      </w:r>
      <w:r w:rsidR="00B05017">
        <w:t xml:space="preserve">rodeje </w:t>
      </w:r>
      <w:r w:rsidR="00B05017">
        <w:t>r</w:t>
      </w:r>
      <w:r w:rsidR="003E30CC">
        <w:t xml:space="preserve">ostly </w:t>
      </w:r>
      <w:r w:rsidR="27C3F59C">
        <w:t>na</w:t>
      </w:r>
      <w:r w:rsidR="00C34074">
        <w:t> klíčových t</w:t>
      </w:r>
      <w:r w:rsidR="6276A2FF">
        <w:t>rzích v</w:t>
      </w:r>
      <w:r w:rsidR="005A0DF0">
        <w:t xml:space="preserve"> </w:t>
      </w:r>
      <w:r w:rsidR="1A4D7852">
        <w:t xml:space="preserve">Severní Americe, </w:t>
      </w:r>
      <w:r w:rsidR="005A0DF0">
        <w:t>Asii</w:t>
      </w:r>
      <w:r w:rsidR="00FB3201">
        <w:t xml:space="preserve"> a Evropě</w:t>
      </w:r>
      <w:r w:rsidR="00DA2AB6">
        <w:t>.</w:t>
      </w:r>
      <w:r w:rsidR="05C9507F">
        <w:t xml:space="preserve"> </w:t>
      </w:r>
      <w:r w:rsidR="004D585B">
        <w:t>Vyplývá to z</w:t>
      </w:r>
      <w:r w:rsidR="67748C02">
        <w:t>e</w:t>
      </w:r>
      <w:r w:rsidR="004D585B">
        <w:t xml:space="preserve"> </w:t>
      </w:r>
      <w:r w:rsidR="00FB3201">
        <w:t>zveřejněných konsolidovaných neauditovaných finančních výsledků.</w:t>
      </w:r>
    </w:p>
    <w:p w14:paraId="138390BE" w14:textId="28E03F37" w:rsidR="00E3774A" w:rsidRDefault="00CE2EA4" w:rsidP="00CE2EA4">
      <w:pPr>
        <w:pStyle w:val="Odrazkaa1"/>
        <w:numPr>
          <w:ilvl w:val="0"/>
          <w:numId w:val="0"/>
        </w:numPr>
        <w:rPr>
          <w:b/>
          <w:bCs/>
        </w:rPr>
      </w:pPr>
      <w:r w:rsidRPr="00F533C5">
        <w:rPr>
          <w:b/>
          <w:bCs/>
        </w:rPr>
        <w:t>Klíčové finanční údaje za první pololetí roku 2022</w:t>
      </w:r>
      <w:r w:rsidR="00F533C5" w:rsidRPr="00F533C5">
        <w:rPr>
          <w:b/>
          <w:bCs/>
        </w:rPr>
        <w:t>:</w:t>
      </w:r>
    </w:p>
    <w:p w14:paraId="3DE5E876" w14:textId="454E1A1F" w:rsidR="00F533C5" w:rsidRPr="0000148F" w:rsidRDefault="002B60FE" w:rsidP="00F533C5">
      <w:pPr>
        <w:pStyle w:val="Odrazkaa1"/>
        <w:numPr>
          <w:ilvl w:val="0"/>
          <w:numId w:val="50"/>
        </w:numPr>
        <w:rPr>
          <w:b/>
          <w:bCs/>
        </w:rPr>
      </w:pPr>
      <w:r>
        <w:t xml:space="preserve">Výnosy </w:t>
      </w:r>
      <w:proofErr w:type="spellStart"/>
      <w:r>
        <w:t>Colt</w:t>
      </w:r>
      <w:proofErr w:type="spellEnd"/>
      <w:r>
        <w:t xml:space="preserve"> CZ v první polovině roku 2022 dosáhly </w:t>
      </w:r>
      <w:r w:rsidR="00766696">
        <w:t xml:space="preserve">7,05 </w:t>
      </w:r>
      <w:r w:rsidR="00CA7AA8">
        <w:t>miliard korun, jedná se tak o</w:t>
      </w:r>
      <w:r w:rsidR="066D17B3">
        <w:t xml:space="preserve"> meziroční</w:t>
      </w:r>
      <w:r w:rsidR="00CA7AA8">
        <w:t xml:space="preserve"> nárůst o </w:t>
      </w:r>
      <w:r w:rsidR="0000148F">
        <w:t>49,1 %.</w:t>
      </w:r>
    </w:p>
    <w:p w14:paraId="544F4CBC" w14:textId="1743C364" w:rsidR="0000148F" w:rsidRPr="005C00EE" w:rsidRDefault="00BE48BB" w:rsidP="00F533C5">
      <w:pPr>
        <w:pStyle w:val="Odrazkaa1"/>
        <w:numPr>
          <w:ilvl w:val="0"/>
          <w:numId w:val="50"/>
        </w:numPr>
        <w:rPr>
          <w:b/>
          <w:bCs/>
        </w:rPr>
      </w:pPr>
      <w:r>
        <w:t>Čistý zisk</w:t>
      </w:r>
      <w:r w:rsidR="1F6B7807">
        <w:t xml:space="preserve"> </w:t>
      </w:r>
      <w:proofErr w:type="spellStart"/>
      <w:r w:rsidR="1F6B7807">
        <w:t>Colt</w:t>
      </w:r>
      <w:proofErr w:type="spellEnd"/>
      <w:r w:rsidR="1F6B7807">
        <w:t xml:space="preserve"> CZ </w:t>
      </w:r>
      <w:r w:rsidR="0096609D">
        <w:t xml:space="preserve">dosáhl za prvních šest měsíců letošního roku </w:t>
      </w:r>
      <w:r w:rsidR="00D7015C">
        <w:t xml:space="preserve">1,1 miliardy Kč, což je o </w:t>
      </w:r>
      <w:r w:rsidR="00CF019B">
        <w:t>87,9 % více než v roce 2021</w:t>
      </w:r>
      <w:r w:rsidR="005C00EE">
        <w:t>.</w:t>
      </w:r>
    </w:p>
    <w:p w14:paraId="437E7DE2" w14:textId="38F64E6E" w:rsidR="00C01FE8" w:rsidRPr="00E703CE" w:rsidRDefault="00AB4595" w:rsidP="00F533C5">
      <w:pPr>
        <w:pStyle w:val="Odrazkaa1"/>
        <w:numPr>
          <w:ilvl w:val="0"/>
          <w:numId w:val="50"/>
        </w:numPr>
        <w:rPr>
          <w:b/>
          <w:bCs/>
        </w:rPr>
      </w:pPr>
      <w:r>
        <w:rPr>
          <w:rFonts w:eastAsiaTheme="minorEastAsia"/>
        </w:rPr>
        <w:t xml:space="preserve">Ukazatel </w:t>
      </w:r>
      <w:r w:rsidR="00C01FE8" w:rsidRPr="7DCF7970">
        <w:rPr>
          <w:rFonts w:eastAsiaTheme="minorEastAsia"/>
        </w:rPr>
        <w:t>EBITDA</w:t>
      </w:r>
      <w:r>
        <w:rPr>
          <w:rFonts w:eastAsiaTheme="minorEastAsia"/>
        </w:rPr>
        <w:t xml:space="preserve"> </w:t>
      </w:r>
      <w:r w:rsidR="00C01FE8" w:rsidRPr="7DCF7970">
        <w:rPr>
          <w:rFonts w:eastAsiaTheme="minorEastAsia"/>
        </w:rPr>
        <w:t>očištěný o mimořádné vlivy za první</w:t>
      </w:r>
      <w:r w:rsidR="00560677">
        <w:rPr>
          <w:rFonts w:eastAsiaTheme="minorEastAsia"/>
        </w:rPr>
        <w:t>ch</w:t>
      </w:r>
      <w:r w:rsidR="00C01FE8" w:rsidRPr="7DCF7970">
        <w:rPr>
          <w:rFonts w:eastAsiaTheme="minorEastAsia"/>
        </w:rPr>
        <w:t xml:space="preserve"> šest měsíců letošního roku </w:t>
      </w:r>
      <w:r w:rsidR="00B137B1">
        <w:rPr>
          <w:rFonts w:eastAsiaTheme="minorEastAsia"/>
        </w:rPr>
        <w:t>vz</w:t>
      </w:r>
      <w:r w:rsidR="00F4476E">
        <w:rPr>
          <w:rFonts w:eastAsiaTheme="minorEastAsia"/>
        </w:rPr>
        <w:t xml:space="preserve">rostl o </w:t>
      </w:r>
      <w:r w:rsidR="00616D85">
        <w:rPr>
          <w:rFonts w:eastAsiaTheme="minorEastAsia"/>
        </w:rPr>
        <w:t>49,1</w:t>
      </w:r>
      <w:r w:rsidR="00A10C75">
        <w:rPr>
          <w:rFonts w:eastAsiaTheme="minorEastAsia"/>
        </w:rPr>
        <w:t xml:space="preserve"> </w:t>
      </w:r>
      <w:r w:rsidR="00F4476E">
        <w:rPr>
          <w:rFonts w:eastAsiaTheme="minorEastAsia"/>
        </w:rPr>
        <w:t xml:space="preserve">% na </w:t>
      </w:r>
      <w:r w:rsidR="00C01FE8" w:rsidRPr="7DCF7970">
        <w:rPr>
          <w:rFonts w:eastAsiaTheme="minorEastAsia"/>
        </w:rPr>
        <w:t>1</w:t>
      </w:r>
      <w:r w:rsidR="00B42A27" w:rsidRPr="7DCF7970">
        <w:rPr>
          <w:rFonts w:eastAsiaTheme="minorEastAsia"/>
        </w:rPr>
        <w:t> </w:t>
      </w:r>
      <w:r w:rsidR="00CD6F27" w:rsidRPr="7DCF7970">
        <w:rPr>
          <w:rFonts w:eastAsiaTheme="minorEastAsia"/>
        </w:rPr>
        <w:t>7</w:t>
      </w:r>
      <w:r w:rsidR="00CD6F27">
        <w:rPr>
          <w:rFonts w:eastAsiaTheme="minorEastAsia"/>
        </w:rPr>
        <w:t>94,7</w:t>
      </w:r>
      <w:r w:rsidR="00CD6F27" w:rsidRPr="7DCF7970">
        <w:rPr>
          <w:rFonts w:eastAsiaTheme="minorEastAsia"/>
        </w:rPr>
        <w:t> </w:t>
      </w:r>
      <w:r w:rsidR="00C01FE8" w:rsidRPr="7DCF7970">
        <w:rPr>
          <w:rFonts w:eastAsiaTheme="minorEastAsia"/>
        </w:rPr>
        <w:t>milion</w:t>
      </w:r>
      <w:r w:rsidR="00CD6F27">
        <w:rPr>
          <w:rFonts w:eastAsiaTheme="minorEastAsia"/>
        </w:rPr>
        <w:t>u</w:t>
      </w:r>
      <w:r w:rsidR="00C01FE8" w:rsidRPr="7DCF7970">
        <w:rPr>
          <w:rFonts w:eastAsiaTheme="minorEastAsia"/>
        </w:rPr>
        <w:t xml:space="preserve"> Kč.</w:t>
      </w:r>
      <w:r w:rsidR="00A10C75">
        <w:rPr>
          <w:rStyle w:val="Znakapoznpodarou"/>
          <w:rFonts w:eastAsiaTheme="minorEastAsia"/>
        </w:rPr>
        <w:footnoteReference w:id="2"/>
      </w:r>
      <w:r w:rsidR="00B42A27" w:rsidRPr="7DCF7970">
        <w:rPr>
          <w:rFonts w:eastAsiaTheme="minorEastAsia"/>
        </w:rPr>
        <w:t xml:space="preserve"> </w:t>
      </w:r>
    </w:p>
    <w:p w14:paraId="63BF75DD" w14:textId="5133F286" w:rsidR="009150A2" w:rsidRPr="009150A2" w:rsidRDefault="00E703CE" w:rsidP="00F533C5">
      <w:pPr>
        <w:pStyle w:val="Odrazkaa1"/>
        <w:numPr>
          <w:ilvl w:val="0"/>
          <w:numId w:val="50"/>
        </w:numPr>
        <w:rPr>
          <w:b/>
          <w:bCs/>
        </w:rPr>
      </w:pPr>
      <w:r>
        <w:rPr>
          <w:rFonts w:eastAsiaTheme="minorHAnsi"/>
        </w:rPr>
        <w:t xml:space="preserve">Počet prodaných </w:t>
      </w:r>
      <w:r w:rsidR="006772FA">
        <w:rPr>
          <w:rFonts w:eastAsiaTheme="minorHAnsi"/>
        </w:rPr>
        <w:t xml:space="preserve">zbraní se v prvním </w:t>
      </w:r>
      <w:r w:rsidR="00955D96">
        <w:rPr>
          <w:rFonts w:eastAsiaTheme="minorHAnsi"/>
        </w:rPr>
        <w:t xml:space="preserve">pololetí letošního roku zvýšil v porovnání </w:t>
      </w:r>
      <w:r w:rsidR="00336527">
        <w:rPr>
          <w:rFonts w:eastAsiaTheme="minorHAnsi"/>
        </w:rPr>
        <w:t>s prvními šesti měsíci 2021</w:t>
      </w:r>
      <w:r w:rsidR="00F107A9">
        <w:rPr>
          <w:rFonts w:eastAsiaTheme="minorHAnsi"/>
        </w:rPr>
        <w:t xml:space="preserve"> o </w:t>
      </w:r>
      <w:r w:rsidR="00E01250">
        <w:rPr>
          <w:rFonts w:eastAsiaTheme="minorHAnsi"/>
        </w:rPr>
        <w:t xml:space="preserve">19,2 % na </w:t>
      </w:r>
      <w:r w:rsidR="003401CE">
        <w:rPr>
          <w:rFonts w:eastAsiaTheme="minorHAnsi"/>
        </w:rPr>
        <w:t>362</w:t>
      </w:r>
      <w:r w:rsidR="00B32AE9">
        <w:rPr>
          <w:rFonts w:eastAsiaTheme="minorHAnsi"/>
        </w:rPr>
        <w:t xml:space="preserve"> 741 prodaných kusů. Krátké palné zbraně byly zastoupeny </w:t>
      </w:r>
      <w:r w:rsidR="008954C7">
        <w:rPr>
          <w:rFonts w:eastAsiaTheme="minorHAnsi"/>
        </w:rPr>
        <w:t>z 58,15 % a dlouhé palné zbraně</w:t>
      </w:r>
      <w:r w:rsidR="00AE18E6">
        <w:rPr>
          <w:rFonts w:eastAsiaTheme="minorHAnsi"/>
        </w:rPr>
        <w:t xml:space="preserve"> pak</w:t>
      </w:r>
      <w:r w:rsidR="008954C7">
        <w:rPr>
          <w:rFonts w:eastAsiaTheme="minorHAnsi"/>
        </w:rPr>
        <w:t xml:space="preserve"> z</w:t>
      </w:r>
      <w:r w:rsidR="009150A2">
        <w:rPr>
          <w:rFonts w:eastAsiaTheme="minorHAnsi"/>
        </w:rPr>
        <w:t> 41,85 %</w:t>
      </w:r>
      <w:r w:rsidR="001E34DD">
        <w:rPr>
          <w:rFonts w:eastAsiaTheme="minorHAnsi"/>
        </w:rPr>
        <w:t>.</w:t>
      </w:r>
    </w:p>
    <w:p w14:paraId="2CC7B59B" w14:textId="0B1C554D" w:rsidR="002F4E46" w:rsidRPr="002F4E46" w:rsidRDefault="002F4E46" w:rsidP="7DCF7970">
      <w:pPr>
        <w:pStyle w:val="Odstavecseseznamem"/>
        <w:numPr>
          <w:ilvl w:val="0"/>
          <w:numId w:val="50"/>
        </w:numPr>
        <w:rPr>
          <w:rFonts w:eastAsiaTheme="minorEastAsia"/>
        </w:rPr>
      </w:pPr>
      <w:r w:rsidRPr="7DCF7970">
        <w:rPr>
          <w:rFonts w:eastAsiaTheme="minorEastAsia"/>
        </w:rPr>
        <w:t>Na celkových výnosech</w:t>
      </w:r>
      <w:r w:rsidR="3B70FEC1" w:rsidRPr="7DCF7970">
        <w:rPr>
          <w:rFonts w:eastAsiaTheme="minorEastAsia"/>
        </w:rPr>
        <w:t xml:space="preserve"> </w:t>
      </w:r>
      <w:proofErr w:type="spellStart"/>
      <w:r w:rsidR="3B70FEC1" w:rsidRPr="7DCF7970">
        <w:rPr>
          <w:rFonts w:eastAsiaTheme="minorEastAsia"/>
        </w:rPr>
        <w:t>Colt</w:t>
      </w:r>
      <w:proofErr w:type="spellEnd"/>
      <w:r w:rsidR="3B70FEC1" w:rsidRPr="7DCF7970">
        <w:rPr>
          <w:rFonts w:eastAsiaTheme="minorEastAsia"/>
        </w:rPr>
        <w:t xml:space="preserve"> CZ </w:t>
      </w:r>
      <w:r w:rsidRPr="7DCF7970">
        <w:rPr>
          <w:rFonts w:eastAsiaTheme="minorEastAsia"/>
        </w:rPr>
        <w:t xml:space="preserve">představovaly v první polovině letošního roku výnosy v USA podíl </w:t>
      </w:r>
      <w:r w:rsidR="00852156" w:rsidRPr="7DCF7970">
        <w:rPr>
          <w:rFonts w:eastAsiaTheme="minorEastAsia"/>
        </w:rPr>
        <w:t>57,98</w:t>
      </w:r>
      <w:r w:rsidRPr="7DCF7970">
        <w:rPr>
          <w:rFonts w:eastAsiaTheme="minorEastAsia"/>
        </w:rPr>
        <w:t xml:space="preserve"> %</w:t>
      </w:r>
      <w:r w:rsidR="4E208FCB" w:rsidRPr="7DCF7970">
        <w:rPr>
          <w:rFonts w:eastAsiaTheme="minorEastAsia"/>
        </w:rPr>
        <w:t>;</w:t>
      </w:r>
      <w:r w:rsidRPr="7DCF7970">
        <w:rPr>
          <w:rFonts w:eastAsiaTheme="minorEastAsia"/>
        </w:rPr>
        <w:t xml:space="preserve"> </w:t>
      </w:r>
      <w:r w:rsidR="00E0739B" w:rsidRPr="7DCF7970">
        <w:rPr>
          <w:rFonts w:eastAsiaTheme="minorEastAsia"/>
        </w:rPr>
        <w:t xml:space="preserve">12,04 </w:t>
      </w:r>
      <w:r w:rsidRPr="7DCF7970">
        <w:rPr>
          <w:rFonts w:eastAsiaTheme="minorEastAsia"/>
        </w:rPr>
        <w:t>%</w:t>
      </w:r>
      <w:r w:rsidR="212A07BE" w:rsidRPr="7DCF7970">
        <w:rPr>
          <w:rFonts w:eastAsiaTheme="minorEastAsia"/>
        </w:rPr>
        <w:t xml:space="preserve"> tvořily</w:t>
      </w:r>
      <w:r w:rsidRPr="7DCF7970">
        <w:rPr>
          <w:rFonts w:eastAsiaTheme="minorEastAsia"/>
        </w:rPr>
        <w:t xml:space="preserve"> výnos</w:t>
      </w:r>
      <w:r w:rsidR="709D7C89" w:rsidRPr="7DCF7970">
        <w:rPr>
          <w:rFonts w:eastAsiaTheme="minorEastAsia"/>
        </w:rPr>
        <w:t>y</w:t>
      </w:r>
      <w:r w:rsidRPr="7DCF7970">
        <w:rPr>
          <w:rFonts w:eastAsiaTheme="minorEastAsia"/>
        </w:rPr>
        <w:t xml:space="preserve"> dosažen</w:t>
      </w:r>
      <w:r w:rsidR="009171EA">
        <w:rPr>
          <w:rFonts w:eastAsiaTheme="minorEastAsia"/>
        </w:rPr>
        <w:t>é</w:t>
      </w:r>
      <w:r w:rsidRPr="7DCF7970">
        <w:rPr>
          <w:rFonts w:eastAsiaTheme="minorEastAsia"/>
        </w:rPr>
        <w:t xml:space="preserve"> </w:t>
      </w:r>
      <w:r w:rsidR="23E630D9" w:rsidRPr="7DCF7970">
        <w:rPr>
          <w:rFonts w:eastAsiaTheme="minorEastAsia"/>
        </w:rPr>
        <w:t>na evropském trhu</w:t>
      </w:r>
      <w:r w:rsidRPr="7DCF7970">
        <w:rPr>
          <w:rFonts w:eastAsiaTheme="minorEastAsia"/>
        </w:rPr>
        <w:t xml:space="preserve"> (bez ČR). </w:t>
      </w:r>
      <w:r w:rsidR="00E1471D" w:rsidRPr="7DCF7970">
        <w:rPr>
          <w:rFonts w:eastAsiaTheme="minorEastAsia"/>
        </w:rPr>
        <w:t>Asie</w:t>
      </w:r>
      <w:r w:rsidRPr="7DCF7970">
        <w:rPr>
          <w:rFonts w:eastAsiaTheme="minorEastAsia"/>
        </w:rPr>
        <w:t xml:space="preserve"> se na celkových výnosech podílela z 1</w:t>
      </w:r>
      <w:r w:rsidR="00E1471D" w:rsidRPr="7DCF7970">
        <w:rPr>
          <w:rFonts w:eastAsiaTheme="minorEastAsia"/>
        </w:rPr>
        <w:t>1</w:t>
      </w:r>
      <w:r w:rsidRPr="7DCF7970">
        <w:rPr>
          <w:rFonts w:eastAsiaTheme="minorEastAsia"/>
        </w:rPr>
        <w:t>,</w:t>
      </w:r>
      <w:r w:rsidR="00E1471D" w:rsidRPr="7DCF7970">
        <w:rPr>
          <w:rFonts w:eastAsiaTheme="minorEastAsia"/>
        </w:rPr>
        <w:t>24</w:t>
      </w:r>
      <w:r w:rsidRPr="7DCF7970">
        <w:rPr>
          <w:rFonts w:eastAsiaTheme="minorEastAsia"/>
        </w:rPr>
        <w:t xml:space="preserve"> %, </w:t>
      </w:r>
      <w:r w:rsidR="007006D1" w:rsidRPr="7DCF7970">
        <w:rPr>
          <w:rFonts w:eastAsiaTheme="minorEastAsia"/>
        </w:rPr>
        <w:t>Česká republika</w:t>
      </w:r>
      <w:r w:rsidRPr="7DCF7970">
        <w:rPr>
          <w:rFonts w:eastAsiaTheme="minorEastAsia"/>
        </w:rPr>
        <w:t xml:space="preserve"> z </w:t>
      </w:r>
      <w:r w:rsidR="007006D1" w:rsidRPr="7DCF7970">
        <w:rPr>
          <w:rFonts w:eastAsiaTheme="minorEastAsia"/>
        </w:rPr>
        <w:t>8,23</w:t>
      </w:r>
      <w:r w:rsidRPr="7DCF7970">
        <w:rPr>
          <w:rFonts w:eastAsiaTheme="minorEastAsia"/>
        </w:rPr>
        <w:t xml:space="preserve"> %, Kanada </w:t>
      </w:r>
      <w:r w:rsidR="00B05017">
        <w:rPr>
          <w:rFonts w:eastAsiaTheme="minorEastAsia"/>
        </w:rPr>
        <w:t xml:space="preserve">ze </w:t>
      </w:r>
      <w:r w:rsidR="007006D1" w:rsidRPr="7DCF7970">
        <w:rPr>
          <w:rFonts w:eastAsiaTheme="minorEastAsia"/>
        </w:rPr>
        <w:t>7,0</w:t>
      </w:r>
      <w:r w:rsidR="00051C85" w:rsidRPr="7DCF7970">
        <w:rPr>
          <w:rFonts w:eastAsiaTheme="minorEastAsia"/>
        </w:rPr>
        <w:t>8</w:t>
      </w:r>
      <w:r w:rsidRPr="7DCF7970">
        <w:rPr>
          <w:rFonts w:eastAsiaTheme="minorEastAsia"/>
        </w:rPr>
        <w:t xml:space="preserve"> %</w:t>
      </w:r>
      <w:r w:rsidR="00B05017">
        <w:rPr>
          <w:rFonts w:eastAsiaTheme="minorEastAsia"/>
        </w:rPr>
        <w:t xml:space="preserve"> </w:t>
      </w:r>
      <w:r w:rsidRPr="7DCF7970">
        <w:rPr>
          <w:rFonts w:eastAsiaTheme="minorEastAsia"/>
        </w:rPr>
        <w:t>a ostatní státy světa pak</w:t>
      </w:r>
      <w:r w:rsidR="00B05017">
        <w:rPr>
          <w:rFonts w:eastAsiaTheme="minorEastAsia"/>
        </w:rPr>
        <w:t xml:space="preserve"> ze</w:t>
      </w:r>
      <w:r w:rsidRPr="7DCF7970">
        <w:rPr>
          <w:rFonts w:eastAsiaTheme="minorEastAsia"/>
        </w:rPr>
        <w:t xml:space="preserve"> </w:t>
      </w:r>
      <w:r w:rsidR="00013FE3" w:rsidRPr="7DCF7970">
        <w:rPr>
          <w:rFonts w:eastAsiaTheme="minorEastAsia"/>
        </w:rPr>
        <w:t>3,4</w:t>
      </w:r>
      <w:r w:rsidR="00616D85">
        <w:rPr>
          <w:rFonts w:eastAsiaTheme="minorEastAsia"/>
        </w:rPr>
        <w:t>3</w:t>
      </w:r>
      <w:r w:rsidRPr="7DCF7970">
        <w:rPr>
          <w:rFonts w:eastAsiaTheme="minorEastAsia"/>
        </w:rPr>
        <w:t xml:space="preserve"> %. </w:t>
      </w:r>
    </w:p>
    <w:p w14:paraId="7A170CE0" w14:textId="364189EA" w:rsidR="00EC2CEC" w:rsidRDefault="000876B8" w:rsidP="7DCF7970">
      <w:pPr>
        <w:rPr>
          <w:shd w:val="clear" w:color="auto" w:fill="FFFFFF"/>
        </w:rPr>
      </w:pPr>
      <w:r w:rsidRPr="7DCF7970">
        <w:rPr>
          <w:i/>
          <w:iCs/>
          <w:shd w:val="clear" w:color="auto" w:fill="FFFFFF"/>
        </w:rPr>
        <w:t>„</w:t>
      </w:r>
      <w:proofErr w:type="spellStart"/>
      <w:r w:rsidRPr="7DCF7970">
        <w:rPr>
          <w:i/>
          <w:iCs/>
          <w:shd w:val="clear" w:color="auto" w:fill="FFFFFF"/>
        </w:rPr>
        <w:t>Colt</w:t>
      </w:r>
      <w:proofErr w:type="spellEnd"/>
      <w:r w:rsidRPr="7DCF7970">
        <w:rPr>
          <w:i/>
          <w:iCs/>
          <w:shd w:val="clear" w:color="auto" w:fill="FFFFFF"/>
        </w:rPr>
        <w:t xml:space="preserve"> CZ Group má za sebou další rekordní pololetí. Meziroční srovnání pozitivně ovlivnila nejen konsolidace výnosů </w:t>
      </w:r>
      <w:proofErr w:type="spellStart"/>
      <w:r w:rsidRPr="7DCF7970">
        <w:rPr>
          <w:i/>
          <w:iCs/>
          <w:shd w:val="clear" w:color="auto" w:fill="FFFFFF"/>
        </w:rPr>
        <w:t>Coltu</w:t>
      </w:r>
      <w:proofErr w:type="spellEnd"/>
      <w:r w:rsidRPr="7DCF7970">
        <w:rPr>
          <w:i/>
          <w:iCs/>
          <w:shd w:val="clear" w:color="auto" w:fill="FFFFFF"/>
        </w:rPr>
        <w:t>, ale také</w:t>
      </w:r>
      <w:r w:rsidR="003C3791">
        <w:rPr>
          <w:i/>
          <w:iCs/>
          <w:shd w:val="clear" w:color="auto" w:fill="FFFFFF"/>
        </w:rPr>
        <w:t xml:space="preserve"> zlepšený</w:t>
      </w:r>
      <w:r w:rsidRPr="7DCF7970">
        <w:rPr>
          <w:i/>
          <w:iCs/>
          <w:shd w:val="clear" w:color="auto" w:fill="FFFFFF"/>
        </w:rPr>
        <w:t xml:space="preserve"> produktový mix a nárůst počtu prodaných zbraní v klíčových teritoriích,“</w:t>
      </w:r>
      <w:r w:rsidRPr="7DCF7970">
        <w:rPr>
          <w:shd w:val="clear" w:color="auto" w:fill="FFFFFF"/>
        </w:rPr>
        <w:t xml:space="preserve"> uvedl </w:t>
      </w:r>
      <w:r w:rsidRPr="7DCF7970">
        <w:rPr>
          <w:b/>
          <w:bCs/>
        </w:rPr>
        <w:t xml:space="preserve">Jan Drahota, prezident a předseda představenstva </w:t>
      </w:r>
      <w:proofErr w:type="spellStart"/>
      <w:r w:rsidRPr="7DCF7970">
        <w:rPr>
          <w:b/>
          <w:bCs/>
        </w:rPr>
        <w:t>Colt</w:t>
      </w:r>
      <w:proofErr w:type="spellEnd"/>
      <w:r w:rsidRPr="7DCF7970">
        <w:rPr>
          <w:b/>
          <w:bCs/>
        </w:rPr>
        <w:t xml:space="preserve"> CZ Group</w:t>
      </w:r>
      <w:r w:rsidRPr="7DCF7970">
        <w:rPr>
          <w:shd w:val="clear" w:color="auto" w:fill="FFFFFF"/>
        </w:rPr>
        <w:t xml:space="preserve">. </w:t>
      </w:r>
    </w:p>
    <w:p w14:paraId="6C40691E" w14:textId="3E775996" w:rsidR="00702204" w:rsidRPr="008E634D" w:rsidRDefault="00702204" w:rsidP="00D445B4">
      <w:r>
        <w:t>Regionálně se k 30. červnu 2022 výnosy v ČR zvýšily o 329,2 %, na 579,9 mil. Kč. Výnosy z prodejů ve Spojených státech vzrostly v prvním pololetí 2022 meziročně o 38,2 %, na 4 086,8 mil. Kč k 30. červnu 2022 především díky pokračující poptáv</w:t>
      </w:r>
      <w:r w:rsidR="001E34DD">
        <w:t>ce</w:t>
      </w:r>
      <w:r>
        <w:t xml:space="preserve"> na komerčním trhu a konsolidovaným výnos</w:t>
      </w:r>
      <w:r w:rsidR="001E34DD">
        <w:t>ům</w:t>
      </w:r>
      <w:r>
        <w:t xml:space="preserve"> </w:t>
      </w:r>
      <w:proofErr w:type="spellStart"/>
      <w:r>
        <w:t>Coltu</w:t>
      </w:r>
      <w:proofErr w:type="spellEnd"/>
      <w:r>
        <w:t xml:space="preserve"> v USA. Výnosy realizované v Kanadě za první pololetí 2022 činily 499,1 milionu Kč, což je o 218,8 % meziročně více, rovněž vlivem plné konsolidace výnosů společnosti </w:t>
      </w:r>
      <w:proofErr w:type="spellStart"/>
      <w:r>
        <w:t>Colt</w:t>
      </w:r>
      <w:proofErr w:type="spellEnd"/>
      <w:r>
        <w:t>. Výnosy dosažené v Evropě (vyjma ČR) se meziročně zvýšily o 67,3 %, na 848,6 mil. Kč za šest měsíců do 30. června 2022 zejména v důsledku nárůstu prodejů v zemích střední a východní Evropy.</w:t>
      </w:r>
    </w:p>
    <w:p w14:paraId="7E0D86BA" w14:textId="61230A23" w:rsidR="00702204" w:rsidRDefault="00702204" w:rsidP="00702204">
      <w:r>
        <w:t>Výnosy dosažené v Africe</w:t>
      </w:r>
      <w:r w:rsidR="2ABCCCC7">
        <w:t xml:space="preserve"> meziročně</w:t>
      </w:r>
      <w:r>
        <w:t xml:space="preserve"> poklesly</w:t>
      </w:r>
      <w:r w:rsidR="503E9824">
        <w:t xml:space="preserve"> </w:t>
      </w:r>
      <w:r>
        <w:t xml:space="preserve">o 93,0 %, na 34,8 mil. Kč, </w:t>
      </w:r>
      <w:r w:rsidR="3FA591AA">
        <w:t>zejména kvůli</w:t>
      </w:r>
      <w:r w:rsidRPr="7DCF7970">
        <w:rPr>
          <w:rFonts w:eastAsiaTheme="minorEastAsia" w:cs="Calibri"/>
        </w:rPr>
        <w:t xml:space="preserve"> jednorázov</w:t>
      </w:r>
      <w:r w:rsidR="388841B2" w:rsidRPr="7DCF7970">
        <w:rPr>
          <w:rFonts w:eastAsiaTheme="minorEastAsia" w:cs="Calibri"/>
        </w:rPr>
        <w:t>ým</w:t>
      </w:r>
      <w:r w:rsidRPr="7DCF7970">
        <w:rPr>
          <w:rFonts w:eastAsiaTheme="minorEastAsia" w:cs="Calibri"/>
        </w:rPr>
        <w:t xml:space="preserve"> dodávk</w:t>
      </w:r>
      <w:r w:rsidR="35B7E79F" w:rsidRPr="7DCF7970">
        <w:rPr>
          <w:rFonts w:eastAsiaTheme="minorEastAsia" w:cs="Calibri"/>
        </w:rPr>
        <w:t>ám</w:t>
      </w:r>
      <w:r w:rsidRPr="7DCF7970">
        <w:rPr>
          <w:rFonts w:eastAsiaTheme="minorEastAsia" w:cs="Calibri"/>
        </w:rPr>
        <w:t xml:space="preserve"> zákazníkům z řad ozbrojených složek</w:t>
      </w:r>
      <w:r w:rsidR="6F63EFB8" w:rsidRPr="7DCF7970">
        <w:rPr>
          <w:rFonts w:eastAsiaTheme="minorEastAsia" w:cs="Calibri"/>
        </w:rPr>
        <w:t>, které se</w:t>
      </w:r>
      <w:r w:rsidRPr="7DCF7970">
        <w:rPr>
          <w:rFonts w:eastAsiaTheme="minorEastAsia" w:cs="Calibri"/>
        </w:rPr>
        <w:t xml:space="preserve"> uskutečnily v loňském roce</w:t>
      </w:r>
      <w:r>
        <w:t>. Výnosy v Asii se za</w:t>
      </w:r>
      <w:r w:rsidR="042CDB1E">
        <w:t xml:space="preserve"> </w:t>
      </w:r>
      <w:r w:rsidR="042CDB1E">
        <w:lastRenderedPageBreak/>
        <w:t>prvních</w:t>
      </w:r>
      <w:r>
        <w:t xml:space="preserve"> šest měsíců</w:t>
      </w:r>
      <w:r w:rsidR="6827BE5B">
        <w:t xml:space="preserve"> tohoto roku</w:t>
      </w:r>
      <w:r>
        <w:t xml:space="preserve"> zvýšily o 174,9 %, na hodnotu 792,5 mil. Kč v důsledku nárůstu prodejů odběratelům z řad ozbrojených složek i komerčním zákazníkům. </w:t>
      </w:r>
    </w:p>
    <w:p w14:paraId="241E7FCC" w14:textId="1AF65D5F" w:rsidR="00AC70AE" w:rsidRDefault="00AC70AE" w:rsidP="00AC70AE">
      <w:pPr>
        <w:rPr>
          <w:rFonts w:cs="Calibri"/>
        </w:rPr>
      </w:pPr>
      <w:r w:rsidRPr="007F3A3D">
        <w:rPr>
          <w:rFonts w:cs="Calibri"/>
        </w:rPr>
        <w:t>Vedení Společnosti očekává, že celkové výnosy v roce 2022 mohou dosáhnout výše</w:t>
      </w:r>
      <w:r>
        <w:rPr>
          <w:rFonts w:cs="Calibri"/>
          <w:b/>
          <w:bCs/>
        </w:rPr>
        <w:t xml:space="preserve"> </w:t>
      </w:r>
      <w:r w:rsidRPr="007F3A3D">
        <w:rPr>
          <w:rFonts w:cs="Calibri"/>
          <w:b/>
          <w:bCs/>
        </w:rPr>
        <w:t>14,</w:t>
      </w:r>
      <w:r w:rsidR="00CD6F27">
        <w:rPr>
          <w:rFonts w:cs="Calibri"/>
          <w:b/>
          <w:bCs/>
        </w:rPr>
        <w:t>0</w:t>
      </w:r>
      <w:r w:rsidRPr="007F3A3D">
        <w:rPr>
          <w:rFonts w:cs="Calibri"/>
          <w:b/>
          <w:bCs/>
        </w:rPr>
        <w:t>–14,</w:t>
      </w:r>
      <w:r w:rsidR="00CD6F27">
        <w:rPr>
          <w:rFonts w:cs="Calibri"/>
          <w:b/>
          <w:bCs/>
        </w:rPr>
        <w:t>6</w:t>
      </w:r>
      <w:r w:rsidRPr="007F3A3D">
        <w:rPr>
          <w:rFonts w:cs="Calibri"/>
          <w:b/>
          <w:bCs/>
        </w:rPr>
        <w:t xml:space="preserve"> mld. Kč, </w:t>
      </w:r>
      <w:r w:rsidRPr="007F3A3D">
        <w:rPr>
          <w:rFonts w:cs="Calibri"/>
        </w:rPr>
        <w:t xml:space="preserve">což představuje meziroční nárůst </w:t>
      </w:r>
      <w:r w:rsidR="00CD6F27">
        <w:rPr>
          <w:rFonts w:cs="Calibri"/>
        </w:rPr>
        <w:t>31</w:t>
      </w:r>
      <w:r w:rsidRPr="007F3A3D">
        <w:rPr>
          <w:rFonts w:cs="Calibri"/>
        </w:rPr>
        <w:t>–</w:t>
      </w:r>
      <w:r w:rsidR="00CD6F27">
        <w:rPr>
          <w:rFonts w:cs="Calibri"/>
        </w:rPr>
        <w:t>36</w:t>
      </w:r>
      <w:r w:rsidR="00CD6F27" w:rsidRPr="007F3A3D">
        <w:rPr>
          <w:rFonts w:cs="Calibri"/>
        </w:rPr>
        <w:t xml:space="preserve"> </w:t>
      </w:r>
      <w:r w:rsidRPr="007F3A3D">
        <w:rPr>
          <w:rFonts w:cs="Calibri"/>
        </w:rPr>
        <w:t>% oproti realizovaným konsolidovaným výnosům v roce 2021</w:t>
      </w:r>
      <w:r w:rsidRPr="00341737">
        <w:rPr>
          <w:rFonts w:cs="Calibri"/>
        </w:rPr>
        <w:t>.</w:t>
      </w:r>
      <w:r w:rsidRPr="007F3A3D">
        <w:rPr>
          <w:rFonts w:cs="Calibri"/>
        </w:rPr>
        <w:t xml:space="preserve"> </w:t>
      </w:r>
    </w:p>
    <w:p w14:paraId="2CAF14E9" w14:textId="35260CBE" w:rsidR="00FF7CBB" w:rsidRDefault="00AC70AE" w:rsidP="00702204">
      <w:pPr>
        <w:rPr>
          <w:rFonts w:cs="Calibri"/>
        </w:rPr>
      </w:pPr>
      <w:r w:rsidRPr="007F3A3D">
        <w:rPr>
          <w:rFonts w:cs="Calibri"/>
        </w:rPr>
        <w:t xml:space="preserve">Očekávaná výše ukazatele EBITDA by mohla dosáhnout v roce 2022 úrovně </w:t>
      </w:r>
      <w:r w:rsidRPr="007F3A3D">
        <w:rPr>
          <w:rFonts w:cs="Calibri"/>
          <w:b/>
          <w:bCs/>
        </w:rPr>
        <w:t xml:space="preserve">3,0–3,3 mld. Kč, </w:t>
      </w:r>
      <w:r w:rsidRPr="007F3A3D">
        <w:rPr>
          <w:rFonts w:cs="Calibri"/>
        </w:rPr>
        <w:t xml:space="preserve">což představuje meziroční nárůst 36–50 % oproti hodnotě upravené konsolidované EBITDA dosažené v roce 2021. </w:t>
      </w:r>
    </w:p>
    <w:p w14:paraId="78272CCF" w14:textId="10E63F3F" w:rsidR="004E2B34" w:rsidRDefault="001737A3" w:rsidP="00A10C75">
      <w:pPr>
        <w:rPr>
          <w:rStyle w:val="Zdraznn"/>
        </w:rPr>
      </w:pPr>
      <w:r w:rsidRPr="7DCF7970">
        <w:rPr>
          <w:rFonts w:cs="Calibri"/>
        </w:rPr>
        <w:t xml:space="preserve">Výzvou pro zbytek roku 2022 je </w:t>
      </w:r>
      <w:r w:rsidR="00BE48A1">
        <w:rPr>
          <w:rFonts w:cs="Calibri"/>
        </w:rPr>
        <w:t xml:space="preserve">reagovat na </w:t>
      </w:r>
      <w:r w:rsidR="005A3A54">
        <w:rPr>
          <w:rFonts w:cs="Calibri"/>
        </w:rPr>
        <w:t>měnící se poptávku na klíčových trzích a</w:t>
      </w:r>
      <w:r w:rsidRPr="7DCF7970">
        <w:rPr>
          <w:rFonts w:cs="Calibri"/>
        </w:rPr>
        <w:t xml:space="preserve"> vyrábět v požadovaném sortimentu za </w:t>
      </w:r>
      <w:r w:rsidR="000F0830">
        <w:rPr>
          <w:rFonts w:cs="Calibri"/>
        </w:rPr>
        <w:t>konkurenceschopnou</w:t>
      </w:r>
      <w:r w:rsidRPr="7DCF7970">
        <w:rPr>
          <w:rFonts w:cs="Calibri"/>
        </w:rPr>
        <w:t xml:space="preserve"> cenu. Řízení provozních nákladů </w:t>
      </w:r>
      <w:r w:rsidR="0090311C">
        <w:rPr>
          <w:rFonts w:cs="Calibri"/>
        </w:rPr>
        <w:t>a dodavatelského řetězce je i nadále klíčová výzva.</w:t>
      </w:r>
      <w:r w:rsidRPr="7DCF7970">
        <w:rPr>
          <w:rFonts w:cs="Calibri"/>
        </w:rPr>
        <w:t xml:space="preserve"> </w:t>
      </w:r>
    </w:p>
    <w:p w14:paraId="7A23BED0" w14:textId="77777777" w:rsidR="00A10C75" w:rsidRDefault="00A10C75" w:rsidP="00696816">
      <w:pPr>
        <w:pStyle w:val="Text111"/>
        <w:ind w:left="0"/>
        <w:rPr>
          <w:rStyle w:val="Zdraznn"/>
        </w:rPr>
      </w:pPr>
    </w:p>
    <w:p w14:paraId="29E6FD05" w14:textId="77777777" w:rsidR="00C73968" w:rsidRDefault="00C73968" w:rsidP="00C73968">
      <w:pPr>
        <w:rPr>
          <w:b/>
        </w:rPr>
      </w:pPr>
      <w:r>
        <w:rPr>
          <w:rStyle w:val="Zdraznn"/>
        </w:rPr>
        <w:t xml:space="preserve">O SPOLEČNOSTI </w:t>
      </w:r>
      <w:proofErr w:type="spellStart"/>
      <w:r>
        <w:rPr>
          <w:rStyle w:val="Zdraznn"/>
        </w:rPr>
        <w:t>Colt</w:t>
      </w:r>
      <w:proofErr w:type="spellEnd"/>
      <w:r>
        <w:rPr>
          <w:rStyle w:val="Zdraznn"/>
        </w:rPr>
        <w:t xml:space="preserve"> CZ Group SE </w:t>
      </w:r>
    </w:p>
    <w:p w14:paraId="1D856E21" w14:textId="77777777" w:rsidR="00C73968" w:rsidRDefault="00C73968" w:rsidP="00C73968">
      <w:proofErr w:type="spellStart"/>
      <w:r>
        <w:t>Colt</w:t>
      </w:r>
      <w:proofErr w:type="spellEnd"/>
      <w:r>
        <w:t xml:space="preserve"> CZ Group SE je společně se svými dceřinými společnostmi jedním z předních světových výrobců ručních palných zbraní pro ozbrojené složky, osobní obranu, lov, sportovní střelbu a další komerční využití. Součástí skupiny </w:t>
      </w:r>
      <w:proofErr w:type="spellStart"/>
      <w:r>
        <w:t>Colt</w:t>
      </w:r>
      <w:proofErr w:type="spellEnd"/>
      <w:r>
        <w:t xml:space="preserve"> CZ jsou společnosti </w:t>
      </w:r>
      <w:proofErr w:type="spellStart"/>
      <w:r>
        <w:t>Colt’s</w:t>
      </w:r>
      <w:proofErr w:type="spellEnd"/>
      <w:r>
        <w:t xml:space="preserve"> </w:t>
      </w:r>
      <w:proofErr w:type="spellStart"/>
      <w:r>
        <w:t>Manufacturing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, Česká zbrojovka, </w:t>
      </w:r>
      <w:proofErr w:type="spellStart"/>
      <w:r>
        <w:t>Colt</w:t>
      </w:r>
      <w:proofErr w:type="spellEnd"/>
      <w:r>
        <w:t xml:space="preserve"> </w:t>
      </w:r>
      <w:proofErr w:type="spellStart"/>
      <w:r>
        <w:t>Canada</w:t>
      </w:r>
      <w:proofErr w:type="spellEnd"/>
      <w:r>
        <w:t xml:space="preserve"> </w:t>
      </w:r>
      <w:proofErr w:type="spellStart"/>
      <w:r>
        <w:t>Corporation</w:t>
      </w:r>
      <w:proofErr w:type="spellEnd"/>
      <w:r>
        <w:t xml:space="preserve">, CZ-USA, 4M Systems a CZ Export Praha. </w:t>
      </w:r>
      <w:proofErr w:type="spellStart"/>
      <w:r>
        <w:t>Colt</w:t>
      </w:r>
      <w:proofErr w:type="spellEnd"/>
      <w:r>
        <w:t xml:space="preserve"> CZ rovněž </w:t>
      </w:r>
      <w:proofErr w:type="gramStart"/>
      <w:r>
        <w:t>drží</w:t>
      </w:r>
      <w:proofErr w:type="gramEnd"/>
      <w:r>
        <w:t xml:space="preserve"> menšinový podíl ve společnosti </w:t>
      </w:r>
      <w:proofErr w:type="spellStart"/>
      <w:r>
        <w:t>Spuhr</w:t>
      </w:r>
      <w:proofErr w:type="spellEnd"/>
      <w:r>
        <w:t xml:space="preserve"> i </w:t>
      </w:r>
      <w:proofErr w:type="spellStart"/>
      <w:r>
        <w:t>Dalby</w:t>
      </w:r>
      <w:proofErr w:type="spellEnd"/>
      <w:r>
        <w:t xml:space="preserve">, švédském výrobci optických montážních řešení pro zbraně. Své produkty prodává </w:t>
      </w:r>
      <w:proofErr w:type="spellStart"/>
      <w:r>
        <w:t>Colt</w:t>
      </w:r>
      <w:proofErr w:type="spellEnd"/>
      <w:r>
        <w:t xml:space="preserve"> CZ především pod značkami </w:t>
      </w:r>
      <w:proofErr w:type="spellStart"/>
      <w:r>
        <w:t>Colt</w:t>
      </w:r>
      <w:proofErr w:type="spellEnd"/>
      <w:r>
        <w:t xml:space="preserve">, CZ (Česká zbrojovka), </w:t>
      </w:r>
      <w:proofErr w:type="spellStart"/>
      <w:r>
        <w:t>Colt</w:t>
      </w:r>
      <w:proofErr w:type="spellEnd"/>
      <w:r>
        <w:t xml:space="preserve"> </w:t>
      </w:r>
      <w:proofErr w:type="spellStart"/>
      <w:r>
        <w:t>Canada</w:t>
      </w:r>
      <w:proofErr w:type="spellEnd"/>
      <w:r>
        <w:t xml:space="preserve">, CZ-USA, Dan </w:t>
      </w:r>
      <w:proofErr w:type="spellStart"/>
      <w:r>
        <w:t>Wesson</w:t>
      </w:r>
      <w:proofErr w:type="spellEnd"/>
      <w:r>
        <w:t xml:space="preserve"> a 4M Systems.</w:t>
      </w:r>
    </w:p>
    <w:p w14:paraId="07810F9B" w14:textId="3A17EB70" w:rsidR="00F92E81" w:rsidRDefault="00C73968" w:rsidP="00C73968">
      <w:proofErr w:type="spellStart"/>
      <w:r>
        <w:t>Colt</w:t>
      </w:r>
      <w:proofErr w:type="spellEnd"/>
      <w:r>
        <w:t xml:space="preserve"> CZ má své sídlo v České republice a výrobní kapacity v České republice, ve Spojených státech a v Kanadě. Zaměstnává více než 2 000 lidí v České republice, USA, Kanadě, Německu a Švédsku. </w:t>
      </w:r>
      <w:r w:rsidR="004764AD">
        <w:t xml:space="preserve">Skupina je vlastněna holdingem Česká zbrojovka </w:t>
      </w:r>
      <w:proofErr w:type="spellStart"/>
      <w:r w:rsidR="004764AD">
        <w:t>Partners</w:t>
      </w:r>
      <w:proofErr w:type="spellEnd"/>
      <w:r w:rsidR="004764AD">
        <w:t xml:space="preserve"> SE ze 76,5 %, přičemž zbývajících 23,5 % </w:t>
      </w:r>
      <w:proofErr w:type="gramStart"/>
      <w:r w:rsidR="004764AD">
        <w:t>tvoří</w:t>
      </w:r>
      <w:proofErr w:type="gramEnd"/>
      <w:r w:rsidR="004764AD">
        <w:t xml:space="preserve"> veřejně obchodované akcie.</w:t>
      </w:r>
    </w:p>
    <w:p w14:paraId="29A9C7F1" w14:textId="77777777" w:rsidR="004612C1" w:rsidRDefault="004612C1" w:rsidP="004764AD">
      <w:pPr>
        <w:pStyle w:val="Text111"/>
        <w:ind w:left="0"/>
      </w:pPr>
    </w:p>
    <w:p w14:paraId="3BB09C3D" w14:textId="048D2D01" w:rsidR="00F92E81" w:rsidRPr="00F92E81" w:rsidRDefault="00F92E81" w:rsidP="00F92E8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cs="Calibri"/>
          <w:b/>
          <w:bCs/>
          <w:i/>
          <w:iCs/>
          <w:color w:val="000000" w:themeColor="text1"/>
          <w:sz w:val="21"/>
          <w:szCs w:val="21"/>
        </w:rPr>
      </w:pPr>
      <w:r w:rsidRPr="00F92E81">
        <w:rPr>
          <w:rFonts w:cs="Calibri"/>
          <w:b/>
          <w:bCs/>
          <w:i/>
          <w:iCs/>
          <w:color w:val="000000" w:themeColor="text1"/>
          <w:sz w:val="21"/>
          <w:szCs w:val="21"/>
        </w:rPr>
        <w:t xml:space="preserve">Kontakt pro média </w:t>
      </w:r>
      <w:r w:rsidRPr="00F92E81">
        <w:rPr>
          <w:rFonts w:cs="Calibri"/>
          <w:b/>
          <w:bCs/>
          <w:i/>
          <w:iCs/>
          <w:color w:val="000000" w:themeColor="text1"/>
          <w:sz w:val="21"/>
          <w:szCs w:val="21"/>
        </w:rPr>
        <w:tab/>
      </w:r>
      <w:r w:rsidRPr="00F92E81">
        <w:rPr>
          <w:rFonts w:cs="Calibri"/>
          <w:b/>
          <w:bCs/>
          <w:i/>
          <w:iCs/>
          <w:color w:val="000000" w:themeColor="text1"/>
          <w:sz w:val="21"/>
          <w:szCs w:val="21"/>
        </w:rPr>
        <w:tab/>
      </w:r>
      <w:r w:rsidRPr="00F92E81">
        <w:rPr>
          <w:rFonts w:cs="Calibri"/>
          <w:b/>
          <w:bCs/>
          <w:i/>
          <w:iCs/>
          <w:color w:val="000000" w:themeColor="text1"/>
          <w:sz w:val="21"/>
          <w:szCs w:val="21"/>
        </w:rPr>
        <w:tab/>
      </w:r>
      <w:r w:rsidRPr="00F92E81">
        <w:rPr>
          <w:rFonts w:cs="Calibri"/>
          <w:b/>
          <w:bCs/>
          <w:i/>
          <w:iCs/>
          <w:color w:val="000000" w:themeColor="text1"/>
          <w:sz w:val="21"/>
          <w:szCs w:val="21"/>
        </w:rPr>
        <w:tab/>
      </w:r>
      <w:r w:rsidR="00D149E1">
        <w:rPr>
          <w:rFonts w:cs="Calibri"/>
          <w:b/>
          <w:bCs/>
          <w:i/>
          <w:iCs/>
          <w:color w:val="000000" w:themeColor="text1"/>
          <w:sz w:val="21"/>
          <w:szCs w:val="21"/>
        </w:rPr>
        <w:tab/>
      </w:r>
      <w:r w:rsidRPr="00F92E81">
        <w:rPr>
          <w:rFonts w:cs="Calibri"/>
          <w:b/>
          <w:bCs/>
          <w:i/>
          <w:iCs/>
          <w:color w:val="000000" w:themeColor="text1"/>
          <w:sz w:val="21"/>
          <w:szCs w:val="21"/>
        </w:rPr>
        <w:t>Kontakt pro investory</w:t>
      </w:r>
    </w:p>
    <w:p w14:paraId="57BA7485" w14:textId="7D0CD863" w:rsidR="00F92E81" w:rsidRPr="00F92E81" w:rsidRDefault="00F92E81" w:rsidP="00917808">
      <w:pPr>
        <w:snapToGrid w:val="0"/>
        <w:spacing w:before="0" w:after="0"/>
        <w:rPr>
          <w:rFonts w:cs="Calibri"/>
          <w:i/>
          <w:iCs/>
          <w:color w:val="000000" w:themeColor="text1"/>
          <w:sz w:val="21"/>
          <w:szCs w:val="21"/>
        </w:rPr>
      </w:pPr>
      <w:r w:rsidRPr="00F92E81">
        <w:rPr>
          <w:rFonts w:cs="Calibri"/>
          <w:i/>
          <w:iCs/>
          <w:color w:val="000000" w:themeColor="text1"/>
          <w:sz w:val="21"/>
          <w:szCs w:val="21"/>
        </w:rPr>
        <w:t xml:space="preserve">Eva Svobodová </w:t>
      </w:r>
      <w:r w:rsidRPr="00F92E81">
        <w:rPr>
          <w:rFonts w:cs="Calibri"/>
          <w:i/>
          <w:iCs/>
          <w:color w:val="000000" w:themeColor="text1"/>
          <w:sz w:val="21"/>
          <w:szCs w:val="21"/>
        </w:rPr>
        <w:tab/>
      </w:r>
      <w:r w:rsidRPr="00F92E81">
        <w:rPr>
          <w:rFonts w:cs="Calibri"/>
          <w:i/>
          <w:iCs/>
          <w:color w:val="000000" w:themeColor="text1"/>
          <w:sz w:val="21"/>
          <w:szCs w:val="21"/>
        </w:rPr>
        <w:tab/>
      </w:r>
      <w:r w:rsidRPr="00F92E81">
        <w:rPr>
          <w:rFonts w:cs="Calibri"/>
          <w:i/>
          <w:iCs/>
          <w:color w:val="000000" w:themeColor="text1"/>
          <w:sz w:val="21"/>
          <w:szCs w:val="21"/>
        </w:rPr>
        <w:tab/>
      </w:r>
      <w:r w:rsidRPr="00F92E81">
        <w:rPr>
          <w:rFonts w:cs="Calibri"/>
          <w:i/>
          <w:iCs/>
          <w:color w:val="000000" w:themeColor="text1"/>
          <w:sz w:val="21"/>
          <w:szCs w:val="21"/>
        </w:rPr>
        <w:tab/>
      </w:r>
      <w:r w:rsidRPr="00F92E81">
        <w:rPr>
          <w:rFonts w:cs="Calibri"/>
          <w:i/>
          <w:iCs/>
          <w:color w:val="000000" w:themeColor="text1"/>
          <w:sz w:val="21"/>
          <w:szCs w:val="21"/>
        </w:rPr>
        <w:tab/>
        <w:t>Klára Šípová</w:t>
      </w:r>
    </w:p>
    <w:p w14:paraId="2714F6A6" w14:textId="0C35BC80" w:rsidR="00F92E81" w:rsidRPr="00F92E81" w:rsidRDefault="00F92E81" w:rsidP="00917808">
      <w:pPr>
        <w:snapToGrid w:val="0"/>
        <w:spacing w:before="0" w:after="0"/>
        <w:rPr>
          <w:rFonts w:cs="Calibri"/>
          <w:i/>
          <w:iCs/>
          <w:color w:val="000000" w:themeColor="text1"/>
          <w:sz w:val="21"/>
          <w:szCs w:val="21"/>
        </w:rPr>
      </w:pPr>
      <w:r w:rsidRPr="00F92E81">
        <w:rPr>
          <w:rFonts w:cs="Calibri"/>
          <w:i/>
          <w:iCs/>
          <w:color w:val="000000" w:themeColor="text1"/>
          <w:sz w:val="21"/>
          <w:szCs w:val="21"/>
        </w:rPr>
        <w:t>ředitelka pro vnější vztahy</w:t>
      </w:r>
      <w:r w:rsidRPr="00F92E81">
        <w:rPr>
          <w:rFonts w:cs="Calibri"/>
          <w:i/>
          <w:iCs/>
          <w:color w:val="000000" w:themeColor="text1"/>
          <w:sz w:val="21"/>
          <w:szCs w:val="21"/>
        </w:rPr>
        <w:tab/>
      </w:r>
      <w:r w:rsidRPr="00F92E81">
        <w:rPr>
          <w:rFonts w:cs="Calibri"/>
          <w:i/>
          <w:iCs/>
          <w:color w:val="000000" w:themeColor="text1"/>
          <w:sz w:val="21"/>
          <w:szCs w:val="21"/>
        </w:rPr>
        <w:tab/>
      </w:r>
      <w:r w:rsidRPr="00F92E81">
        <w:rPr>
          <w:rFonts w:cs="Calibri"/>
          <w:i/>
          <w:iCs/>
          <w:color w:val="000000" w:themeColor="text1"/>
          <w:sz w:val="21"/>
          <w:szCs w:val="21"/>
        </w:rPr>
        <w:tab/>
      </w:r>
      <w:r w:rsidR="00D149E1">
        <w:rPr>
          <w:rFonts w:cs="Calibri"/>
          <w:i/>
          <w:iCs/>
          <w:color w:val="000000" w:themeColor="text1"/>
          <w:sz w:val="21"/>
          <w:szCs w:val="21"/>
        </w:rPr>
        <w:tab/>
      </w:r>
      <w:r w:rsidRPr="00F92E81">
        <w:rPr>
          <w:rFonts w:cs="Calibri"/>
          <w:i/>
          <w:iCs/>
          <w:color w:val="000000" w:themeColor="text1"/>
          <w:sz w:val="21"/>
          <w:szCs w:val="21"/>
        </w:rPr>
        <w:t>Investor Relations</w:t>
      </w:r>
    </w:p>
    <w:p w14:paraId="6A47058F" w14:textId="49648F21" w:rsidR="00F92E81" w:rsidRPr="00F92E81" w:rsidRDefault="00275C82" w:rsidP="00F4324C">
      <w:pPr>
        <w:snapToGrid w:val="0"/>
        <w:spacing w:before="0" w:after="0"/>
        <w:rPr>
          <w:rFonts w:cs="Calibri"/>
          <w:i/>
          <w:iCs/>
          <w:color w:val="000000" w:themeColor="text1"/>
          <w:sz w:val="21"/>
          <w:szCs w:val="21"/>
        </w:rPr>
      </w:pPr>
      <w:proofErr w:type="spellStart"/>
      <w:r>
        <w:rPr>
          <w:rFonts w:cs="Calibri"/>
          <w:i/>
          <w:iCs/>
          <w:color w:val="000000" w:themeColor="text1"/>
          <w:sz w:val="21"/>
          <w:szCs w:val="21"/>
        </w:rPr>
        <w:t>Colt</w:t>
      </w:r>
      <w:proofErr w:type="spellEnd"/>
      <w:r>
        <w:rPr>
          <w:rFonts w:cs="Calibri"/>
          <w:i/>
          <w:iCs/>
          <w:color w:val="000000" w:themeColor="text1"/>
          <w:sz w:val="21"/>
          <w:szCs w:val="21"/>
        </w:rPr>
        <w:t xml:space="preserve"> CZ</w:t>
      </w:r>
      <w:r w:rsidR="00F92E81" w:rsidRPr="00F92E81">
        <w:rPr>
          <w:rFonts w:cs="Calibri"/>
          <w:i/>
          <w:iCs/>
          <w:color w:val="000000" w:themeColor="text1"/>
          <w:sz w:val="21"/>
          <w:szCs w:val="21"/>
        </w:rPr>
        <w:t xml:space="preserve"> Group SE</w:t>
      </w:r>
      <w:r w:rsidR="00F92E81" w:rsidRPr="00F92E81">
        <w:rPr>
          <w:rFonts w:cs="Calibri"/>
          <w:i/>
          <w:iCs/>
          <w:color w:val="000000" w:themeColor="text1"/>
          <w:sz w:val="21"/>
          <w:szCs w:val="21"/>
        </w:rPr>
        <w:tab/>
      </w:r>
      <w:r w:rsidR="00F92E81" w:rsidRPr="00F92E81">
        <w:rPr>
          <w:rFonts w:cs="Calibri"/>
          <w:i/>
          <w:iCs/>
          <w:color w:val="000000" w:themeColor="text1"/>
          <w:sz w:val="21"/>
          <w:szCs w:val="21"/>
        </w:rPr>
        <w:tab/>
      </w:r>
      <w:r w:rsidR="00F92E81" w:rsidRPr="00F92E81">
        <w:rPr>
          <w:rFonts w:cs="Calibri"/>
          <w:i/>
          <w:iCs/>
          <w:color w:val="000000" w:themeColor="text1"/>
          <w:sz w:val="21"/>
          <w:szCs w:val="21"/>
        </w:rPr>
        <w:tab/>
      </w:r>
      <w:r>
        <w:rPr>
          <w:rFonts w:cs="Calibri"/>
          <w:i/>
          <w:iCs/>
          <w:color w:val="000000" w:themeColor="text1"/>
          <w:sz w:val="21"/>
          <w:szCs w:val="21"/>
        </w:rPr>
        <w:tab/>
      </w:r>
      <w:r>
        <w:rPr>
          <w:rFonts w:cs="Calibri"/>
          <w:i/>
          <w:iCs/>
          <w:color w:val="000000" w:themeColor="text1"/>
          <w:sz w:val="21"/>
          <w:szCs w:val="21"/>
        </w:rPr>
        <w:tab/>
      </w:r>
      <w:proofErr w:type="spellStart"/>
      <w:r w:rsidR="00F92E81" w:rsidRPr="00F92E81">
        <w:rPr>
          <w:rFonts w:cs="Calibri"/>
          <w:i/>
          <w:iCs/>
          <w:color w:val="000000" w:themeColor="text1"/>
          <w:sz w:val="21"/>
          <w:szCs w:val="21"/>
        </w:rPr>
        <w:t>C</w:t>
      </w:r>
      <w:r>
        <w:rPr>
          <w:rFonts w:cs="Calibri"/>
          <w:i/>
          <w:iCs/>
          <w:color w:val="000000" w:themeColor="text1"/>
          <w:sz w:val="21"/>
          <w:szCs w:val="21"/>
        </w:rPr>
        <w:t>olt</w:t>
      </w:r>
      <w:proofErr w:type="spellEnd"/>
      <w:r>
        <w:rPr>
          <w:rFonts w:cs="Calibri"/>
          <w:i/>
          <w:iCs/>
          <w:color w:val="000000" w:themeColor="text1"/>
          <w:sz w:val="21"/>
          <w:szCs w:val="21"/>
        </w:rPr>
        <w:t xml:space="preserve"> CZ</w:t>
      </w:r>
      <w:r w:rsidR="00F92E81" w:rsidRPr="00F92E81">
        <w:rPr>
          <w:rFonts w:cs="Calibri"/>
          <w:i/>
          <w:iCs/>
          <w:color w:val="000000" w:themeColor="text1"/>
          <w:sz w:val="21"/>
          <w:szCs w:val="21"/>
        </w:rPr>
        <w:t xml:space="preserve"> Grou</w:t>
      </w:r>
      <w:r w:rsidR="00DD1FE6">
        <w:rPr>
          <w:rFonts w:cs="Calibri"/>
          <w:i/>
          <w:iCs/>
          <w:color w:val="000000" w:themeColor="text1"/>
          <w:sz w:val="21"/>
          <w:szCs w:val="21"/>
        </w:rPr>
        <w:t xml:space="preserve">p </w:t>
      </w:r>
      <w:r w:rsidR="00F92E81" w:rsidRPr="00F92E81">
        <w:rPr>
          <w:rFonts w:cs="Calibri"/>
          <w:i/>
          <w:iCs/>
          <w:color w:val="000000" w:themeColor="text1"/>
          <w:sz w:val="21"/>
          <w:szCs w:val="21"/>
        </w:rPr>
        <w:t>SE</w:t>
      </w:r>
    </w:p>
    <w:p w14:paraId="41AD3530" w14:textId="66511282" w:rsidR="00F92E81" w:rsidRPr="00F92E81" w:rsidRDefault="00F92E81" w:rsidP="00F4324C">
      <w:pPr>
        <w:snapToGrid w:val="0"/>
        <w:spacing w:before="0" w:after="0"/>
        <w:rPr>
          <w:rFonts w:cs="Calibri"/>
          <w:i/>
          <w:iCs/>
          <w:color w:val="000000" w:themeColor="text1"/>
          <w:sz w:val="21"/>
          <w:szCs w:val="21"/>
        </w:rPr>
      </w:pPr>
      <w:r w:rsidRPr="00F92E81">
        <w:rPr>
          <w:rFonts w:cs="Calibri"/>
          <w:i/>
          <w:iCs/>
          <w:color w:val="000000" w:themeColor="text1"/>
          <w:sz w:val="21"/>
          <w:szCs w:val="21"/>
        </w:rPr>
        <w:t xml:space="preserve">Tel.: +420 735 793 656 </w:t>
      </w:r>
      <w:r w:rsidRPr="00F92E81">
        <w:rPr>
          <w:rFonts w:cs="Calibri"/>
          <w:i/>
          <w:iCs/>
          <w:color w:val="000000" w:themeColor="text1"/>
          <w:sz w:val="21"/>
          <w:szCs w:val="21"/>
        </w:rPr>
        <w:tab/>
      </w:r>
      <w:r w:rsidRPr="00F92E81">
        <w:rPr>
          <w:rFonts w:cs="Calibri"/>
          <w:i/>
          <w:iCs/>
          <w:color w:val="000000" w:themeColor="text1"/>
          <w:sz w:val="21"/>
          <w:szCs w:val="21"/>
        </w:rPr>
        <w:tab/>
      </w:r>
      <w:r w:rsidRPr="00F92E81">
        <w:rPr>
          <w:rFonts w:cs="Calibri"/>
          <w:i/>
          <w:iCs/>
          <w:color w:val="000000" w:themeColor="text1"/>
          <w:sz w:val="21"/>
          <w:szCs w:val="21"/>
        </w:rPr>
        <w:tab/>
      </w:r>
      <w:r w:rsidRPr="00F92E81">
        <w:rPr>
          <w:rFonts w:cs="Calibri"/>
          <w:i/>
          <w:iCs/>
          <w:color w:val="000000" w:themeColor="text1"/>
          <w:sz w:val="21"/>
          <w:szCs w:val="21"/>
        </w:rPr>
        <w:tab/>
        <w:t>Tel.: + 420 724 255 715</w:t>
      </w:r>
    </w:p>
    <w:p w14:paraId="750AD9D1" w14:textId="1A50B047" w:rsidR="00CE7145" w:rsidRPr="00CB34B6" w:rsidRDefault="00F92E81" w:rsidP="004E2B34">
      <w:pPr>
        <w:pStyle w:val="Text111"/>
        <w:spacing w:before="0" w:after="0"/>
        <w:ind w:left="0"/>
        <w:rPr>
          <w:i/>
          <w:iCs/>
        </w:rPr>
      </w:pPr>
      <w:r w:rsidRPr="00F92E81">
        <w:rPr>
          <w:rFonts w:cs="Calibri"/>
          <w:i/>
          <w:iCs/>
          <w:color w:val="000000" w:themeColor="text1"/>
          <w:sz w:val="21"/>
          <w:szCs w:val="21"/>
        </w:rPr>
        <w:t xml:space="preserve">Email: </w:t>
      </w:r>
      <w:hyperlink r:id="rId11" w:history="1">
        <w:r w:rsidR="00917808" w:rsidRPr="004E2B34">
          <w:rPr>
            <w:rStyle w:val="Hypertextovodkaz"/>
            <w:rFonts w:cs="Calibri"/>
            <w:i/>
            <w:iCs/>
            <w:sz w:val="21"/>
            <w:szCs w:val="21"/>
            <w:u w:val="none"/>
          </w:rPr>
          <w:t>media@coltczgroup.com</w:t>
        </w:r>
      </w:hyperlink>
      <w:r w:rsidRPr="004E2B34">
        <w:rPr>
          <w:rFonts w:cs="Calibri"/>
          <w:i/>
          <w:iCs/>
          <w:color w:val="000000" w:themeColor="text1"/>
          <w:sz w:val="21"/>
          <w:szCs w:val="21"/>
        </w:rPr>
        <w:t xml:space="preserve"> </w:t>
      </w:r>
      <w:r w:rsidRPr="004E2B34">
        <w:rPr>
          <w:rFonts w:cs="Calibri"/>
          <w:i/>
          <w:iCs/>
          <w:color w:val="000000" w:themeColor="text1"/>
          <w:sz w:val="21"/>
          <w:szCs w:val="21"/>
        </w:rPr>
        <w:tab/>
      </w:r>
      <w:r w:rsidRPr="004E2B34">
        <w:rPr>
          <w:rFonts w:cs="Calibri"/>
          <w:i/>
          <w:iCs/>
          <w:color w:val="000000" w:themeColor="text1"/>
          <w:sz w:val="21"/>
          <w:szCs w:val="21"/>
        </w:rPr>
        <w:tab/>
      </w:r>
      <w:r w:rsidRPr="004E2B34">
        <w:rPr>
          <w:rFonts w:cs="Calibri"/>
          <w:i/>
          <w:iCs/>
          <w:color w:val="000000" w:themeColor="text1"/>
          <w:sz w:val="21"/>
          <w:szCs w:val="21"/>
        </w:rPr>
        <w:tab/>
        <w:t>Email:</w:t>
      </w:r>
      <w:r w:rsidR="004E2B34">
        <w:rPr>
          <w:rFonts w:cs="Calibri"/>
          <w:i/>
          <w:iCs/>
          <w:color w:val="000000" w:themeColor="text1"/>
          <w:sz w:val="21"/>
          <w:szCs w:val="21"/>
        </w:rPr>
        <w:t xml:space="preserve"> </w:t>
      </w:r>
      <w:r w:rsidR="00917808" w:rsidRPr="004E2B34">
        <w:rPr>
          <w:rFonts w:cs="Calibri"/>
          <w:i/>
          <w:iCs/>
          <w:sz w:val="21"/>
          <w:szCs w:val="21"/>
        </w:rPr>
        <w:t>sipova@coltczgroup.com</w:t>
      </w:r>
      <w:r w:rsidRPr="004E2B34">
        <w:rPr>
          <w:rFonts w:ascii="Calibri" w:hAnsi="Calibri" w:cs="Calibri"/>
          <w:i/>
          <w:iCs/>
          <w:color w:val="000000" w:themeColor="text1"/>
          <w:sz w:val="21"/>
          <w:szCs w:val="21"/>
        </w:rPr>
        <w:tab/>
      </w:r>
    </w:p>
    <w:sectPr w:rsidR="00CE7145" w:rsidRPr="00CB34B6" w:rsidSect="00C0712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C34AA" w14:textId="77777777" w:rsidR="004337A5" w:rsidRDefault="004337A5" w:rsidP="006547EF">
      <w:pPr>
        <w:spacing w:before="0" w:after="0"/>
      </w:pPr>
      <w:r>
        <w:separator/>
      </w:r>
    </w:p>
  </w:endnote>
  <w:endnote w:type="continuationSeparator" w:id="0">
    <w:p w14:paraId="0A7304C0" w14:textId="77777777" w:rsidR="004337A5" w:rsidRDefault="004337A5" w:rsidP="006547EF">
      <w:pPr>
        <w:spacing w:before="0" w:after="0"/>
      </w:pPr>
      <w:r>
        <w:continuationSeparator/>
      </w:r>
    </w:p>
  </w:endnote>
  <w:endnote w:type="continuationNotice" w:id="1">
    <w:p w14:paraId="3A9564CC" w14:textId="77777777" w:rsidR="004337A5" w:rsidRDefault="004337A5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altName w:val="Calibri"/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8096A84-736D-43F5-AD19-71E01A5DBF39}"/>
    <w:embedBold r:id="rId2" w:fontKey="{97EA053F-DA52-4D14-992E-ED3ACEE6B7E7}"/>
    <w:embedItalic r:id="rId3" w:fontKey="{F9B4C525-E4B3-435B-BD5F-4586EBE1EB8E}"/>
    <w:embedBoldItalic r:id="rId4" w:fontKey="{6694E6CD-EB61-4BFE-9415-20BDFAFF95E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C9AA73A-EE02-4629-BC88-6CDE1FAB1F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1736917"/>
      <w:docPartObj>
        <w:docPartGallery w:val="Page Numbers (Bottom of Page)"/>
        <w:docPartUnique/>
      </w:docPartObj>
    </w:sdtPr>
    <w:sdtContent>
      <w:p w14:paraId="18F07477" w14:textId="709C8DE3" w:rsidR="00C07127" w:rsidRDefault="00C07127">
        <w:pPr>
          <w:pStyle w:val="Zpat"/>
          <w:jc w:val="right"/>
        </w:pPr>
      </w:p>
      <w:p w14:paraId="5BB0AE34" w14:textId="76605C7B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EF4D8" w14:textId="77777777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proofErr w:type="spellStart"/>
    <w:r w:rsidRPr="00C07127">
      <w:rPr>
        <w:rFonts w:eastAsiaTheme="minorHAnsi" w:cstheme="minorBidi"/>
        <w:sz w:val="14"/>
        <w:szCs w:val="14"/>
      </w:rPr>
      <w:t>Colt</w:t>
    </w:r>
    <w:proofErr w:type="spellEnd"/>
    <w:r w:rsidRPr="00C07127">
      <w:rPr>
        <w:rFonts w:eastAsiaTheme="minorHAnsi" w:cstheme="minorBidi"/>
        <w:sz w:val="14"/>
        <w:szCs w:val="14"/>
      </w:rPr>
      <w:t xml:space="preserve">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Pr="00C07127">
      <w:rPr>
        <w:rFonts w:eastAsiaTheme="minorHAnsi" w:cstheme="minorBidi"/>
        <w:sz w:val="14"/>
        <w:szCs w:val="14"/>
      </w:rPr>
      <w:t xml:space="preserve">Opletalova 1284/37,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7EC3FEB2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78D06" w14:textId="77777777" w:rsidR="004337A5" w:rsidRDefault="004337A5" w:rsidP="006547EF">
      <w:pPr>
        <w:spacing w:before="0" w:after="0"/>
      </w:pPr>
      <w:r>
        <w:separator/>
      </w:r>
    </w:p>
  </w:footnote>
  <w:footnote w:type="continuationSeparator" w:id="0">
    <w:p w14:paraId="4FDD0488" w14:textId="77777777" w:rsidR="004337A5" w:rsidRDefault="004337A5" w:rsidP="006547EF">
      <w:pPr>
        <w:spacing w:before="0" w:after="0"/>
      </w:pPr>
      <w:r>
        <w:continuationSeparator/>
      </w:r>
    </w:p>
  </w:footnote>
  <w:footnote w:type="continuationNotice" w:id="1">
    <w:p w14:paraId="4291C81C" w14:textId="77777777" w:rsidR="004337A5" w:rsidRDefault="004337A5">
      <w:pPr>
        <w:spacing w:before="0" w:after="0"/>
      </w:pPr>
    </w:p>
  </w:footnote>
  <w:footnote w:id="2">
    <w:p w14:paraId="09008883" w14:textId="7073FE2E" w:rsidR="00A10C75" w:rsidRPr="00A10C75" w:rsidRDefault="00A10C75">
      <w:pPr>
        <w:pStyle w:val="Textpoznpodarou"/>
        <w:rPr>
          <w:sz w:val="16"/>
          <w:szCs w:val="16"/>
        </w:rPr>
      </w:pPr>
      <w:r w:rsidRPr="00A10C75">
        <w:rPr>
          <w:rStyle w:val="Znakapoznpodarou"/>
          <w:sz w:val="16"/>
          <w:szCs w:val="16"/>
        </w:rPr>
        <w:footnoteRef/>
      </w:r>
      <w:r w:rsidRPr="00A10C75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Ukazatel EBITDA upravený </w:t>
      </w:r>
      <w:r w:rsidR="00616D85">
        <w:rPr>
          <w:sz w:val="16"/>
          <w:szCs w:val="16"/>
        </w:rPr>
        <w:t xml:space="preserve">v prvním pololetí 2022 </w:t>
      </w:r>
      <w:r w:rsidRPr="00A10C75">
        <w:rPr>
          <w:sz w:val="16"/>
          <w:szCs w:val="16"/>
        </w:rPr>
        <w:t>o mimořádné jednorázové náklady spojené s</w:t>
      </w:r>
      <w:r w:rsidR="00616D85">
        <w:rPr>
          <w:sz w:val="16"/>
          <w:szCs w:val="16"/>
        </w:rPr>
        <w:t> </w:t>
      </w:r>
      <w:r w:rsidRPr="00A10C75">
        <w:rPr>
          <w:sz w:val="16"/>
          <w:szCs w:val="16"/>
        </w:rPr>
        <w:t>akvizic</w:t>
      </w:r>
      <w:r w:rsidR="00616D85">
        <w:rPr>
          <w:sz w:val="16"/>
          <w:szCs w:val="16"/>
        </w:rPr>
        <w:t>emi roku 2022</w:t>
      </w:r>
      <w:r w:rsidR="007F7CFC">
        <w:rPr>
          <w:sz w:val="16"/>
          <w:szCs w:val="16"/>
        </w:rPr>
        <w:t xml:space="preserve">, </w:t>
      </w:r>
      <w:r w:rsidR="00B137B1">
        <w:rPr>
          <w:sz w:val="16"/>
          <w:szCs w:val="16"/>
        </w:rPr>
        <w:t xml:space="preserve">a </w:t>
      </w:r>
      <w:r w:rsidRPr="00A10C75">
        <w:rPr>
          <w:sz w:val="16"/>
          <w:szCs w:val="16"/>
        </w:rPr>
        <w:t>o úhrady vázané na akcie v souvislosti se zaměstnaneckým opčním plánem, které obecně nesouvisejí s běžným hospodařením a tvorbou hodnoty v daném období.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871B9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639EC1DD" wp14:editId="5C8024DC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90DCD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3B12E324" wp14:editId="5EA0A009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8823F70"/>
    <w:multiLevelType w:val="hybridMultilevel"/>
    <w:tmpl w:val="C5BAE2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4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5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7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9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247307243">
    <w:abstractNumId w:val="1"/>
  </w:num>
  <w:num w:numId="2" w16cid:durableId="1469392834">
    <w:abstractNumId w:val="1"/>
  </w:num>
  <w:num w:numId="3" w16cid:durableId="652611446">
    <w:abstractNumId w:val="15"/>
  </w:num>
  <w:num w:numId="4" w16cid:durableId="692266191">
    <w:abstractNumId w:val="9"/>
  </w:num>
  <w:num w:numId="5" w16cid:durableId="1637834495">
    <w:abstractNumId w:val="13"/>
  </w:num>
  <w:num w:numId="6" w16cid:durableId="1627614482">
    <w:abstractNumId w:val="7"/>
  </w:num>
  <w:num w:numId="7" w16cid:durableId="704721881">
    <w:abstractNumId w:val="17"/>
  </w:num>
  <w:num w:numId="8" w16cid:durableId="580335469">
    <w:abstractNumId w:val="14"/>
  </w:num>
  <w:num w:numId="9" w16cid:durableId="502168837">
    <w:abstractNumId w:val="1"/>
  </w:num>
  <w:num w:numId="10" w16cid:durableId="369693464">
    <w:abstractNumId w:val="10"/>
  </w:num>
  <w:num w:numId="11" w16cid:durableId="929655243">
    <w:abstractNumId w:val="10"/>
  </w:num>
  <w:num w:numId="12" w16cid:durableId="554463392">
    <w:abstractNumId w:val="1"/>
  </w:num>
  <w:num w:numId="13" w16cid:durableId="1443764732">
    <w:abstractNumId w:val="1"/>
  </w:num>
  <w:num w:numId="14" w16cid:durableId="732699737">
    <w:abstractNumId w:val="15"/>
  </w:num>
  <w:num w:numId="15" w16cid:durableId="2067680703">
    <w:abstractNumId w:val="9"/>
  </w:num>
  <w:num w:numId="16" w16cid:durableId="5596666">
    <w:abstractNumId w:val="13"/>
  </w:num>
  <w:num w:numId="17" w16cid:durableId="1689597564">
    <w:abstractNumId w:val="7"/>
  </w:num>
  <w:num w:numId="18" w16cid:durableId="71977859">
    <w:abstractNumId w:val="17"/>
  </w:num>
  <w:num w:numId="19" w16cid:durableId="1113745777">
    <w:abstractNumId w:val="14"/>
  </w:num>
  <w:num w:numId="20" w16cid:durableId="1588886108">
    <w:abstractNumId w:val="6"/>
  </w:num>
  <w:num w:numId="21" w16cid:durableId="173810326">
    <w:abstractNumId w:val="19"/>
  </w:num>
  <w:num w:numId="22" w16cid:durableId="198670870">
    <w:abstractNumId w:val="7"/>
    <w:lvlOverride w:ilvl="0">
      <w:startOverride w:val="1"/>
    </w:lvlOverride>
  </w:num>
  <w:num w:numId="23" w16cid:durableId="666786155">
    <w:abstractNumId w:val="12"/>
  </w:num>
  <w:num w:numId="24" w16cid:durableId="2031561598">
    <w:abstractNumId w:val="2"/>
  </w:num>
  <w:num w:numId="25" w16cid:durableId="1928339300">
    <w:abstractNumId w:val="0"/>
  </w:num>
  <w:num w:numId="26" w16cid:durableId="4160945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423525548">
    <w:abstractNumId w:val="4"/>
  </w:num>
  <w:num w:numId="28" w16cid:durableId="1373993609">
    <w:abstractNumId w:val="5"/>
  </w:num>
  <w:num w:numId="29" w16cid:durableId="15967923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74656380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04493129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843590773">
    <w:abstractNumId w:val="16"/>
  </w:num>
  <w:num w:numId="33" w16cid:durableId="1154371810">
    <w:abstractNumId w:val="7"/>
    <w:lvlOverride w:ilvl="0">
      <w:startOverride w:val="1"/>
    </w:lvlOverride>
  </w:num>
  <w:num w:numId="34" w16cid:durableId="24717725">
    <w:abstractNumId w:val="7"/>
    <w:lvlOverride w:ilvl="0">
      <w:startOverride w:val="1"/>
    </w:lvlOverride>
  </w:num>
  <w:num w:numId="35" w16cid:durableId="1853883779">
    <w:abstractNumId w:val="7"/>
    <w:lvlOverride w:ilvl="0">
      <w:startOverride w:val="1"/>
    </w:lvlOverride>
  </w:num>
  <w:num w:numId="36" w16cid:durableId="1006633449">
    <w:abstractNumId w:val="7"/>
    <w:lvlOverride w:ilvl="0">
      <w:startOverride w:val="1"/>
    </w:lvlOverride>
  </w:num>
  <w:num w:numId="37" w16cid:durableId="1176725445">
    <w:abstractNumId w:val="7"/>
    <w:lvlOverride w:ilvl="0">
      <w:startOverride w:val="1"/>
    </w:lvlOverride>
  </w:num>
  <w:num w:numId="38" w16cid:durableId="506754755">
    <w:abstractNumId w:val="7"/>
    <w:lvlOverride w:ilvl="0">
      <w:startOverride w:val="1"/>
    </w:lvlOverride>
  </w:num>
  <w:num w:numId="39" w16cid:durableId="198589889">
    <w:abstractNumId w:val="7"/>
    <w:lvlOverride w:ilvl="0">
      <w:startOverride w:val="1"/>
    </w:lvlOverride>
  </w:num>
  <w:num w:numId="40" w16cid:durableId="650254250">
    <w:abstractNumId w:val="7"/>
    <w:lvlOverride w:ilvl="0">
      <w:startOverride w:val="1"/>
    </w:lvlOverride>
  </w:num>
  <w:num w:numId="41" w16cid:durableId="548305365">
    <w:abstractNumId w:val="7"/>
    <w:lvlOverride w:ilvl="0">
      <w:startOverride w:val="1"/>
    </w:lvlOverride>
  </w:num>
  <w:num w:numId="42" w16cid:durableId="930817954">
    <w:abstractNumId w:val="7"/>
    <w:lvlOverride w:ilvl="0">
      <w:startOverride w:val="1"/>
    </w:lvlOverride>
  </w:num>
  <w:num w:numId="43" w16cid:durableId="1486774548">
    <w:abstractNumId w:val="15"/>
    <w:lvlOverride w:ilvl="0">
      <w:startOverride w:val="1"/>
    </w:lvlOverride>
  </w:num>
  <w:num w:numId="44" w16cid:durableId="997197796">
    <w:abstractNumId w:val="15"/>
    <w:lvlOverride w:ilvl="0">
      <w:startOverride w:val="1"/>
    </w:lvlOverride>
  </w:num>
  <w:num w:numId="45" w16cid:durableId="181162832">
    <w:abstractNumId w:val="11"/>
  </w:num>
  <w:num w:numId="46" w16cid:durableId="143131372">
    <w:abstractNumId w:val="5"/>
    <w:lvlOverride w:ilvl="0">
      <w:startOverride w:val="1"/>
    </w:lvlOverride>
  </w:num>
  <w:num w:numId="47" w16cid:durableId="1575163566">
    <w:abstractNumId w:val="3"/>
  </w:num>
  <w:num w:numId="48" w16cid:durableId="1268345257">
    <w:abstractNumId w:val="20"/>
  </w:num>
  <w:num w:numId="49" w16cid:durableId="454835841">
    <w:abstractNumId w:val="18"/>
  </w:num>
  <w:num w:numId="50" w16cid:durableId="1206526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74E"/>
    <w:rsid w:val="000009DF"/>
    <w:rsid w:val="0000148F"/>
    <w:rsid w:val="00007CAA"/>
    <w:rsid w:val="0001238C"/>
    <w:rsid w:val="00013FE3"/>
    <w:rsid w:val="0001583C"/>
    <w:rsid w:val="00020972"/>
    <w:rsid w:val="00051C85"/>
    <w:rsid w:val="00062CF0"/>
    <w:rsid w:val="00064D2F"/>
    <w:rsid w:val="00067C03"/>
    <w:rsid w:val="000876B8"/>
    <w:rsid w:val="0009794C"/>
    <w:rsid w:val="00097DF8"/>
    <w:rsid w:val="000D4999"/>
    <w:rsid w:val="000D4D95"/>
    <w:rsid w:val="000F0830"/>
    <w:rsid w:val="000F12DC"/>
    <w:rsid w:val="000F7895"/>
    <w:rsid w:val="0011114F"/>
    <w:rsid w:val="0011484F"/>
    <w:rsid w:val="0011598F"/>
    <w:rsid w:val="00141ED8"/>
    <w:rsid w:val="00141EFD"/>
    <w:rsid w:val="001439B2"/>
    <w:rsid w:val="00154F03"/>
    <w:rsid w:val="001737A3"/>
    <w:rsid w:val="001A5AAA"/>
    <w:rsid w:val="001C5673"/>
    <w:rsid w:val="001D5EAC"/>
    <w:rsid w:val="001E34DD"/>
    <w:rsid w:val="001E588E"/>
    <w:rsid w:val="001E6E8C"/>
    <w:rsid w:val="0020291C"/>
    <w:rsid w:val="0023142B"/>
    <w:rsid w:val="002437B4"/>
    <w:rsid w:val="00253DC5"/>
    <w:rsid w:val="00261491"/>
    <w:rsid w:val="00273164"/>
    <w:rsid w:val="00275C82"/>
    <w:rsid w:val="002912E4"/>
    <w:rsid w:val="002B4FA7"/>
    <w:rsid w:val="002B60FE"/>
    <w:rsid w:val="002C54F7"/>
    <w:rsid w:val="002D1D6E"/>
    <w:rsid w:val="002E6C7C"/>
    <w:rsid w:val="002F4E46"/>
    <w:rsid w:val="002F7E0C"/>
    <w:rsid w:val="003036C3"/>
    <w:rsid w:val="00320849"/>
    <w:rsid w:val="00336527"/>
    <w:rsid w:val="003401CE"/>
    <w:rsid w:val="0034239F"/>
    <w:rsid w:val="00354949"/>
    <w:rsid w:val="00360E35"/>
    <w:rsid w:val="00363EE6"/>
    <w:rsid w:val="00364F2B"/>
    <w:rsid w:val="00365414"/>
    <w:rsid w:val="00367979"/>
    <w:rsid w:val="00377A96"/>
    <w:rsid w:val="00382F60"/>
    <w:rsid w:val="003A1645"/>
    <w:rsid w:val="003C3791"/>
    <w:rsid w:val="003E30CC"/>
    <w:rsid w:val="003F4255"/>
    <w:rsid w:val="003F7082"/>
    <w:rsid w:val="00417701"/>
    <w:rsid w:val="00432AB6"/>
    <w:rsid w:val="004337A5"/>
    <w:rsid w:val="004612C1"/>
    <w:rsid w:val="004637FF"/>
    <w:rsid w:val="00471E2F"/>
    <w:rsid w:val="004725A6"/>
    <w:rsid w:val="004764AD"/>
    <w:rsid w:val="004C012B"/>
    <w:rsid w:val="004D585B"/>
    <w:rsid w:val="004E2B34"/>
    <w:rsid w:val="004E7C09"/>
    <w:rsid w:val="004F064E"/>
    <w:rsid w:val="004F68EC"/>
    <w:rsid w:val="00500F28"/>
    <w:rsid w:val="005166BE"/>
    <w:rsid w:val="0055429A"/>
    <w:rsid w:val="00560677"/>
    <w:rsid w:val="00581E89"/>
    <w:rsid w:val="00590709"/>
    <w:rsid w:val="0059405D"/>
    <w:rsid w:val="005959B0"/>
    <w:rsid w:val="005A0DF0"/>
    <w:rsid w:val="005A2D01"/>
    <w:rsid w:val="005A3A54"/>
    <w:rsid w:val="005C00EE"/>
    <w:rsid w:val="005D5074"/>
    <w:rsid w:val="00604D69"/>
    <w:rsid w:val="00616D85"/>
    <w:rsid w:val="0061745C"/>
    <w:rsid w:val="00641AE8"/>
    <w:rsid w:val="006503F9"/>
    <w:rsid w:val="006547EF"/>
    <w:rsid w:val="00671C35"/>
    <w:rsid w:val="006772FA"/>
    <w:rsid w:val="00682C36"/>
    <w:rsid w:val="006865CB"/>
    <w:rsid w:val="00696816"/>
    <w:rsid w:val="006C0A2C"/>
    <w:rsid w:val="006C35D2"/>
    <w:rsid w:val="006D3224"/>
    <w:rsid w:val="006F5BA9"/>
    <w:rsid w:val="007006D1"/>
    <w:rsid w:val="00702204"/>
    <w:rsid w:val="007031A5"/>
    <w:rsid w:val="00707179"/>
    <w:rsid w:val="007201A6"/>
    <w:rsid w:val="00721002"/>
    <w:rsid w:val="00745085"/>
    <w:rsid w:val="007506E3"/>
    <w:rsid w:val="007619C9"/>
    <w:rsid w:val="00761FDD"/>
    <w:rsid w:val="0076357C"/>
    <w:rsid w:val="00766696"/>
    <w:rsid w:val="0078610A"/>
    <w:rsid w:val="007A3121"/>
    <w:rsid w:val="007B6DEB"/>
    <w:rsid w:val="007D0463"/>
    <w:rsid w:val="007D4040"/>
    <w:rsid w:val="007F7CFC"/>
    <w:rsid w:val="00826338"/>
    <w:rsid w:val="00846B9C"/>
    <w:rsid w:val="00852156"/>
    <w:rsid w:val="00870156"/>
    <w:rsid w:val="00894C2D"/>
    <w:rsid w:val="008954C7"/>
    <w:rsid w:val="008D092D"/>
    <w:rsid w:val="008D1B85"/>
    <w:rsid w:val="0090311C"/>
    <w:rsid w:val="0091083A"/>
    <w:rsid w:val="00910BE4"/>
    <w:rsid w:val="009150A2"/>
    <w:rsid w:val="009171EA"/>
    <w:rsid w:val="00917808"/>
    <w:rsid w:val="00936C84"/>
    <w:rsid w:val="0094411F"/>
    <w:rsid w:val="00955D96"/>
    <w:rsid w:val="0096609D"/>
    <w:rsid w:val="00974591"/>
    <w:rsid w:val="00974843"/>
    <w:rsid w:val="00975C01"/>
    <w:rsid w:val="0098762D"/>
    <w:rsid w:val="0099143C"/>
    <w:rsid w:val="00993FAA"/>
    <w:rsid w:val="009A743B"/>
    <w:rsid w:val="009C34C4"/>
    <w:rsid w:val="009D0F42"/>
    <w:rsid w:val="009D13A4"/>
    <w:rsid w:val="009D2C9E"/>
    <w:rsid w:val="009D4592"/>
    <w:rsid w:val="009F1B40"/>
    <w:rsid w:val="009F58BB"/>
    <w:rsid w:val="00A10C75"/>
    <w:rsid w:val="00A27A78"/>
    <w:rsid w:val="00A318E9"/>
    <w:rsid w:val="00A364A3"/>
    <w:rsid w:val="00A57DAD"/>
    <w:rsid w:val="00A87513"/>
    <w:rsid w:val="00AA576E"/>
    <w:rsid w:val="00AB4595"/>
    <w:rsid w:val="00AB5B5B"/>
    <w:rsid w:val="00AC70AE"/>
    <w:rsid w:val="00AC7503"/>
    <w:rsid w:val="00AE18E6"/>
    <w:rsid w:val="00B03113"/>
    <w:rsid w:val="00B05017"/>
    <w:rsid w:val="00B137B1"/>
    <w:rsid w:val="00B162AF"/>
    <w:rsid w:val="00B167A9"/>
    <w:rsid w:val="00B2147A"/>
    <w:rsid w:val="00B31869"/>
    <w:rsid w:val="00B32AE9"/>
    <w:rsid w:val="00B41F73"/>
    <w:rsid w:val="00B42A27"/>
    <w:rsid w:val="00B53499"/>
    <w:rsid w:val="00B551D0"/>
    <w:rsid w:val="00B64F9F"/>
    <w:rsid w:val="00B7225F"/>
    <w:rsid w:val="00B9174E"/>
    <w:rsid w:val="00BE47BD"/>
    <w:rsid w:val="00BE48A1"/>
    <w:rsid w:val="00BE48BB"/>
    <w:rsid w:val="00BF131E"/>
    <w:rsid w:val="00BF5574"/>
    <w:rsid w:val="00C01FE8"/>
    <w:rsid w:val="00C03272"/>
    <w:rsid w:val="00C07127"/>
    <w:rsid w:val="00C07BB5"/>
    <w:rsid w:val="00C32442"/>
    <w:rsid w:val="00C34074"/>
    <w:rsid w:val="00C52920"/>
    <w:rsid w:val="00C56BFA"/>
    <w:rsid w:val="00C73968"/>
    <w:rsid w:val="00C873EF"/>
    <w:rsid w:val="00C9232A"/>
    <w:rsid w:val="00C96072"/>
    <w:rsid w:val="00C97729"/>
    <w:rsid w:val="00CA7AA8"/>
    <w:rsid w:val="00CB34B6"/>
    <w:rsid w:val="00CC53D0"/>
    <w:rsid w:val="00CD01DB"/>
    <w:rsid w:val="00CD4C3A"/>
    <w:rsid w:val="00CD6F27"/>
    <w:rsid w:val="00CE2EA4"/>
    <w:rsid w:val="00CE7145"/>
    <w:rsid w:val="00CF019B"/>
    <w:rsid w:val="00D0385E"/>
    <w:rsid w:val="00D149E1"/>
    <w:rsid w:val="00D445B4"/>
    <w:rsid w:val="00D47870"/>
    <w:rsid w:val="00D7015C"/>
    <w:rsid w:val="00D82DB4"/>
    <w:rsid w:val="00D965D3"/>
    <w:rsid w:val="00DA2AB6"/>
    <w:rsid w:val="00DB1247"/>
    <w:rsid w:val="00DB3E34"/>
    <w:rsid w:val="00DC0331"/>
    <w:rsid w:val="00DC41AE"/>
    <w:rsid w:val="00DD1FE6"/>
    <w:rsid w:val="00DD302E"/>
    <w:rsid w:val="00DD5580"/>
    <w:rsid w:val="00DE5D19"/>
    <w:rsid w:val="00E01250"/>
    <w:rsid w:val="00E06658"/>
    <w:rsid w:val="00E0739B"/>
    <w:rsid w:val="00E11853"/>
    <w:rsid w:val="00E1471D"/>
    <w:rsid w:val="00E22375"/>
    <w:rsid w:val="00E22853"/>
    <w:rsid w:val="00E3774A"/>
    <w:rsid w:val="00E43323"/>
    <w:rsid w:val="00E703CE"/>
    <w:rsid w:val="00E7379C"/>
    <w:rsid w:val="00E76942"/>
    <w:rsid w:val="00E8771D"/>
    <w:rsid w:val="00EA1C49"/>
    <w:rsid w:val="00EA33ED"/>
    <w:rsid w:val="00EB21C9"/>
    <w:rsid w:val="00EC02BF"/>
    <w:rsid w:val="00EC2CEC"/>
    <w:rsid w:val="00EC7039"/>
    <w:rsid w:val="00EC7F31"/>
    <w:rsid w:val="00ED5886"/>
    <w:rsid w:val="00EE4923"/>
    <w:rsid w:val="00EF1FA1"/>
    <w:rsid w:val="00F107A9"/>
    <w:rsid w:val="00F17FFD"/>
    <w:rsid w:val="00F25541"/>
    <w:rsid w:val="00F31E56"/>
    <w:rsid w:val="00F42AA7"/>
    <w:rsid w:val="00F4324C"/>
    <w:rsid w:val="00F4476E"/>
    <w:rsid w:val="00F533C5"/>
    <w:rsid w:val="00F92E81"/>
    <w:rsid w:val="00FB3201"/>
    <w:rsid w:val="00FC548C"/>
    <w:rsid w:val="00FC55FA"/>
    <w:rsid w:val="00FC7A29"/>
    <w:rsid w:val="00FD6C5F"/>
    <w:rsid w:val="00FF7CBB"/>
    <w:rsid w:val="042CDB1E"/>
    <w:rsid w:val="05C9507F"/>
    <w:rsid w:val="066D17B3"/>
    <w:rsid w:val="068CBACC"/>
    <w:rsid w:val="06F0DD1D"/>
    <w:rsid w:val="0850F64D"/>
    <w:rsid w:val="08AA3063"/>
    <w:rsid w:val="0B6F6EB2"/>
    <w:rsid w:val="0F74A1DE"/>
    <w:rsid w:val="153BBF39"/>
    <w:rsid w:val="19D52C22"/>
    <w:rsid w:val="1A4D7852"/>
    <w:rsid w:val="1B85927C"/>
    <w:rsid w:val="1F6B7807"/>
    <w:rsid w:val="1FB0F631"/>
    <w:rsid w:val="202FDC94"/>
    <w:rsid w:val="212A07BE"/>
    <w:rsid w:val="23E630D9"/>
    <w:rsid w:val="24563663"/>
    <w:rsid w:val="26373D7D"/>
    <w:rsid w:val="27BC0816"/>
    <w:rsid w:val="27C3F59C"/>
    <w:rsid w:val="2ABCCCC7"/>
    <w:rsid w:val="2B3770D7"/>
    <w:rsid w:val="2F1EEC8F"/>
    <w:rsid w:val="316AD7E2"/>
    <w:rsid w:val="3306A843"/>
    <w:rsid w:val="34486172"/>
    <w:rsid w:val="35B7E79F"/>
    <w:rsid w:val="388841B2"/>
    <w:rsid w:val="3B70FEC1"/>
    <w:rsid w:val="3B7F37DB"/>
    <w:rsid w:val="3C63F98D"/>
    <w:rsid w:val="3DB9D8B2"/>
    <w:rsid w:val="3FA591AA"/>
    <w:rsid w:val="4116FD3B"/>
    <w:rsid w:val="4180FBAC"/>
    <w:rsid w:val="4552ED85"/>
    <w:rsid w:val="49446BA3"/>
    <w:rsid w:val="4E208FCB"/>
    <w:rsid w:val="4F7DE149"/>
    <w:rsid w:val="503E9824"/>
    <w:rsid w:val="51458E12"/>
    <w:rsid w:val="540D8A6D"/>
    <w:rsid w:val="59C90478"/>
    <w:rsid w:val="5C1E8C28"/>
    <w:rsid w:val="620F2293"/>
    <w:rsid w:val="6276A2FF"/>
    <w:rsid w:val="640A85DA"/>
    <w:rsid w:val="65EA5A75"/>
    <w:rsid w:val="6763DD0D"/>
    <w:rsid w:val="67748C02"/>
    <w:rsid w:val="6827BE5B"/>
    <w:rsid w:val="6EC71476"/>
    <w:rsid w:val="6F3BFDAA"/>
    <w:rsid w:val="6F63EFB8"/>
    <w:rsid w:val="709D7C89"/>
    <w:rsid w:val="7749A8BA"/>
    <w:rsid w:val="775CAAF2"/>
    <w:rsid w:val="77A3FFEB"/>
    <w:rsid w:val="7C33A90F"/>
    <w:rsid w:val="7DCF7970"/>
    <w:rsid w:val="7DEC4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561950"/>
  <w15:chartTrackingRefBased/>
  <w15:docId w15:val="{BC7E265C-DFBF-4534-8757-3C25F8035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10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2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6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7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8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F92E81"/>
    <w:rPr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3A164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A1645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A1645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A164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A1645"/>
    <w:rPr>
      <w:rFonts w:ascii="Atyp Colt CZ" w:hAnsi="Atyp Colt CZ"/>
      <w:b/>
      <w:bCs/>
    </w:rPr>
  </w:style>
  <w:style w:type="character" w:styleId="Zmnka">
    <w:name w:val="Mention"/>
    <w:basedOn w:val="Standardnpsmoodstavce"/>
    <w:uiPriority w:val="99"/>
    <w:unhideWhenUsed/>
    <w:rsid w:val="00DC41AE"/>
    <w:rPr>
      <w:color w:val="2B579A"/>
      <w:shd w:val="clear" w:color="auto" w:fill="E1DFDD"/>
    </w:rPr>
  </w:style>
  <w:style w:type="paragraph" w:styleId="Revize">
    <w:name w:val="Revision"/>
    <w:hidden/>
    <w:uiPriority w:val="99"/>
    <w:semiHidden/>
    <w:rsid w:val="001E34DD"/>
    <w:rPr>
      <w:rFonts w:ascii="Atyp Colt CZ" w:hAnsi="Atyp Colt CZ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9178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8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dia@coltczgroup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278B27A32C1D428EA3579BA5F17923" ma:contentTypeVersion="16" ma:contentTypeDescription="Vytvoří nový dokument" ma:contentTypeScope="" ma:versionID="a7714195f68176f5815cc642737be034">
  <xsd:schema xmlns:xsd="http://www.w3.org/2001/XMLSchema" xmlns:xs="http://www.w3.org/2001/XMLSchema" xmlns:p="http://schemas.microsoft.com/office/2006/metadata/properties" xmlns:ns2="9d3eee87-ef8c-413e-a8d3-4745f26df625" xmlns:ns3="c697cfce-db15-4d46-b574-5ead264874a8" targetNamespace="http://schemas.microsoft.com/office/2006/metadata/properties" ma:root="true" ma:fieldsID="056e72c68a487fe1c76f18c2d4553650" ns2:_="" ns3:_="">
    <xsd:import namespace="9d3eee87-ef8c-413e-a8d3-4745f26df625"/>
    <xsd:import namespace="c697cfce-db15-4d46-b574-5ead264874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eee87-ef8c-413e-a8d3-4745f26df6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edeee852-b1e8-43a3-9a8c-e309434119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97cfce-db15-4d46-b574-5ead264874a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3c5016-85f8-41f4-9a8a-295438767c4e}" ma:internalName="TaxCatchAll" ma:showField="CatchAllData" ma:web="c697cfce-db15-4d46-b574-5ead264874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97cfce-db15-4d46-b574-5ead264874a8" xsi:nil="true"/>
    <lcf76f155ced4ddcb4097134ff3c332f xmlns="9d3eee87-ef8c-413e-a8d3-4745f26df62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EE67F35-0AEE-4675-9D68-064FC97576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297412-3AEB-4983-9510-AA5DF9F7DC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3eee87-ef8c-413e-a8d3-4745f26df625"/>
    <ds:schemaRef ds:uri="c697cfce-db15-4d46-b574-5ead264874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BB2E46-EF50-4C8A-A486-5630DE197421}">
  <ds:schemaRefs>
    <ds:schemaRef ds:uri="http://schemas.microsoft.com/office/2006/metadata/properties"/>
    <ds:schemaRef ds:uri="http://schemas.microsoft.com/office/infopath/2007/PartnerControls"/>
    <ds:schemaRef ds:uri="c697cfce-db15-4d46-b574-5ead264874a8"/>
    <ds:schemaRef ds:uri="9d3eee87-ef8c-413e-a8d3-4745f26df62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669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</CharactersWithSpaces>
  <SharedDoc>false</SharedDoc>
  <HLinks>
    <vt:vector size="12" baseType="variant">
      <vt:variant>
        <vt:i4>4784161</vt:i4>
      </vt:variant>
      <vt:variant>
        <vt:i4>3</vt:i4>
      </vt:variant>
      <vt:variant>
        <vt:i4>0</vt:i4>
      </vt:variant>
      <vt:variant>
        <vt:i4>5</vt:i4>
      </vt:variant>
      <vt:variant>
        <vt:lpwstr>mailto:sipova.klara@czg.cz</vt:lpwstr>
      </vt:variant>
      <vt:variant>
        <vt:lpwstr/>
      </vt:variant>
      <vt:variant>
        <vt:i4>7143506</vt:i4>
      </vt:variant>
      <vt:variant>
        <vt:i4>0</vt:i4>
      </vt:variant>
      <vt:variant>
        <vt:i4>0</vt:i4>
      </vt:variant>
      <vt:variant>
        <vt:i4>5</vt:i4>
      </vt:variant>
      <vt:variant>
        <vt:lpwstr>mailto:media@czg.cz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Sondel Jakub Bc.</dc:creator>
  <cp:keywords/>
  <dc:description/>
  <cp:lastModifiedBy>Heida Willem</cp:lastModifiedBy>
  <cp:revision>6</cp:revision>
  <dcterms:created xsi:type="dcterms:W3CDTF">2022-09-21T18:11:00Z</dcterms:created>
  <dcterms:modified xsi:type="dcterms:W3CDTF">2022-09-21T19:19:00Z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0x01010084278B27A32C1D428EA3579BA5F17923</vt:lpwstr>
  </property>
  <property fmtid="{D5CDD505-2E9C-101B-9397-08002B2CF9AE}" pid="3" name="Order">
    <vt:r8>17900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