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BB5" w14:textId="046B7E17" w:rsidR="007A7F42" w:rsidRPr="00232CB5" w:rsidRDefault="00467558" w:rsidP="004056E8">
      <w:pPr>
        <w:spacing w:before="120" w:line="276" w:lineRule="auto"/>
        <w:jc w:val="right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TISKOVÁ ZPRÁVA</w:t>
      </w:r>
    </w:p>
    <w:p w14:paraId="181CE0B7" w14:textId="77777777" w:rsidR="00873AF5" w:rsidRPr="00232CB5" w:rsidRDefault="00873AF5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40"/>
          <w:szCs w:val="40"/>
        </w:rPr>
      </w:pPr>
    </w:p>
    <w:p w14:paraId="6ED032E1" w14:textId="6414E53F" w:rsidR="007A7F42" w:rsidRPr="00232CB5" w:rsidRDefault="007A7F42" w:rsidP="004056E8">
      <w:pPr>
        <w:spacing w:before="120" w:line="276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CZG – Česká zbrojovka Group SE </w:t>
      </w:r>
      <w:r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br/>
      </w:r>
      <w:r w:rsidR="00E01E58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dosáhla </w:t>
      </w:r>
      <w:r w:rsidR="009A7258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>za prvních devět měsíců roku</w:t>
      </w:r>
      <w:r w:rsidR="00E50A83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2021 </w:t>
      </w:r>
      <w:r w:rsidR="00C004C3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výnosů </w:t>
      </w:r>
      <w:r w:rsidR="00B37ADE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 hodnotě </w:t>
      </w:r>
      <w:r w:rsidR="00C004C3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7,6 </w:t>
      </w:r>
      <w:r w:rsidR="00E01E58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>miliard</w:t>
      </w:r>
      <w:r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01E58" w:rsidRPr="00232CB5">
        <w:rPr>
          <w:rFonts w:ascii="Calibri" w:hAnsi="Calibri" w:cs="Calibri"/>
          <w:b/>
          <w:bCs/>
          <w:color w:val="000000" w:themeColor="text1"/>
          <w:sz w:val="28"/>
          <w:szCs w:val="28"/>
        </w:rPr>
        <w:t>korun</w:t>
      </w:r>
    </w:p>
    <w:p w14:paraId="78978463" w14:textId="77777777" w:rsidR="004056E8" w:rsidRPr="00232CB5" w:rsidRDefault="004056E8" w:rsidP="004056E8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51769AB8" w14:textId="3FCA18F8" w:rsidR="007A7F42" w:rsidRDefault="00E01E58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Praha</w:t>
      </w:r>
      <w:r w:rsidR="007A7F42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r w:rsidR="009A7258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25</w:t>
      </w: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9A7258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listopadu</w:t>
      </w:r>
      <w:r w:rsidR="007A7F42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1</w:t>
      </w:r>
      <w:r w:rsidR="007A7F42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="007A7F42"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 ― </w:t>
      </w:r>
      <w:proofErr w:type="gramStart"/>
      <w:r w:rsidR="00821B0E"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CZG - 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>Česká</w:t>
      </w:r>
      <w:proofErr w:type="gramEnd"/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 zbrojovka Group SE </w:t>
      </w:r>
      <w:r w:rsidR="00821B0E" w:rsidRPr="00232CB5">
        <w:rPr>
          <w:rFonts w:ascii="Calibri" w:hAnsi="Calibri" w:cs="Calibri"/>
          <w:color w:val="000000" w:themeColor="text1"/>
          <w:sz w:val="22"/>
          <w:szCs w:val="22"/>
        </w:rPr>
        <w:t>(„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CZG”, „Skupina“ nebo “Společnost”) dnes zveřejnila své konsolidované neauditované finanční výsledky za </w:t>
      </w:r>
      <w:r w:rsidR="009A7258"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devět </w:t>
      </w:r>
      <w:r w:rsidR="00E50A83" w:rsidRPr="00232CB5">
        <w:rPr>
          <w:rFonts w:ascii="Calibri" w:hAnsi="Calibri" w:cs="Calibri"/>
          <w:color w:val="000000" w:themeColor="text1"/>
          <w:sz w:val="22"/>
          <w:szCs w:val="22"/>
        </w:rPr>
        <w:t>měsíc</w:t>
      </w:r>
      <w:r w:rsidR="009A7258" w:rsidRPr="00232CB5">
        <w:rPr>
          <w:rFonts w:ascii="Calibri" w:hAnsi="Calibri" w:cs="Calibri"/>
          <w:color w:val="000000" w:themeColor="text1"/>
          <w:sz w:val="22"/>
          <w:szCs w:val="22"/>
        </w:rPr>
        <w:t>ů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50A83" w:rsidRPr="00232CB5">
        <w:rPr>
          <w:rFonts w:ascii="Calibri" w:hAnsi="Calibri" w:cs="Calibri"/>
          <w:color w:val="000000" w:themeColor="text1"/>
          <w:sz w:val="22"/>
          <w:szCs w:val="22"/>
        </w:rPr>
        <w:t>roku 2021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 končící</w:t>
      </w:r>
      <w:r w:rsidR="00C5190B">
        <w:rPr>
          <w:rFonts w:ascii="Calibri" w:hAnsi="Calibri" w:cs="Calibri"/>
          <w:color w:val="000000" w:themeColor="text1"/>
          <w:sz w:val="22"/>
          <w:szCs w:val="22"/>
        </w:rPr>
        <w:t>ch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A7258" w:rsidRPr="00232CB5">
        <w:rPr>
          <w:rFonts w:ascii="Calibri" w:hAnsi="Calibri" w:cs="Calibri"/>
          <w:color w:val="000000" w:themeColor="text1"/>
          <w:sz w:val="22"/>
          <w:szCs w:val="22"/>
        </w:rPr>
        <w:t>30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9A7258" w:rsidRPr="00232CB5">
        <w:rPr>
          <w:rFonts w:ascii="Calibri" w:hAnsi="Calibri" w:cs="Calibri"/>
          <w:color w:val="000000" w:themeColor="text1"/>
          <w:sz w:val="22"/>
          <w:szCs w:val="22"/>
        </w:rPr>
        <w:t>září</w:t>
      </w:r>
      <w:r w:rsidRPr="00232CB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D40CB6C" w14:textId="77777777" w:rsidR="00EF4FB0" w:rsidRPr="00232CB5" w:rsidRDefault="00EF4FB0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D34F54F" w14:textId="1FB48EA6" w:rsidR="00A66764" w:rsidRPr="00232CB5" w:rsidRDefault="003B3823" w:rsidP="004056E8">
      <w:pPr>
        <w:spacing w:before="120"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Klíčové finanční údaje roku </w:t>
      </w:r>
      <w:r w:rsidR="00E50A83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</w:t>
      </w:r>
      <w:r w:rsidR="00C5190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prvních </w:t>
      </w:r>
      <w:r w:rsidR="009A7258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>9 měsíců</w:t>
      </w:r>
      <w:r w:rsidR="00E50A83" w:rsidRPr="00232C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 2021:</w:t>
      </w:r>
    </w:p>
    <w:p w14:paraId="0864E1A3" w14:textId="2086B890" w:rsidR="00770356" w:rsidRPr="00232CB5" w:rsidRDefault="003B3823" w:rsidP="004056E8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lang w:val="cs-CZ"/>
        </w:rPr>
      </w:pPr>
      <w:r w:rsidRPr="00232CB5">
        <w:rPr>
          <w:rFonts w:eastAsia="Montserrat Light"/>
          <w:color w:val="000000" w:themeColor="text1"/>
          <w:lang w:val="cs-CZ"/>
        </w:rPr>
        <w:t xml:space="preserve">Výnosy skupiny </w:t>
      </w:r>
      <w:r w:rsidR="009A7258" w:rsidRPr="00232CB5">
        <w:rPr>
          <w:rFonts w:eastAsia="Montserrat Light"/>
          <w:color w:val="000000" w:themeColor="text1"/>
          <w:lang w:val="cs-CZ"/>
        </w:rPr>
        <w:t xml:space="preserve">za </w:t>
      </w:r>
      <w:r w:rsidR="00C5190B">
        <w:rPr>
          <w:rFonts w:eastAsia="Montserrat Light"/>
          <w:color w:val="000000" w:themeColor="text1"/>
          <w:lang w:val="cs-CZ"/>
        </w:rPr>
        <w:t xml:space="preserve">prvních </w:t>
      </w:r>
      <w:r w:rsidR="009A7258" w:rsidRPr="00232CB5">
        <w:rPr>
          <w:rFonts w:eastAsia="Montserrat Light"/>
          <w:color w:val="000000" w:themeColor="text1"/>
          <w:lang w:val="cs-CZ"/>
        </w:rPr>
        <w:t>9 měsíců</w:t>
      </w:r>
      <w:r w:rsidR="00E50A83" w:rsidRPr="00232CB5">
        <w:rPr>
          <w:rFonts w:eastAsia="Montserrat Light"/>
          <w:color w:val="000000" w:themeColor="text1"/>
          <w:lang w:val="cs-CZ"/>
        </w:rPr>
        <w:t xml:space="preserve"> 2021</w:t>
      </w:r>
      <w:r w:rsidRPr="00232CB5">
        <w:rPr>
          <w:rFonts w:eastAsia="Montserrat Light"/>
          <w:color w:val="000000" w:themeColor="text1"/>
          <w:lang w:val="cs-CZ"/>
        </w:rPr>
        <w:t xml:space="preserve"> dosáhly </w:t>
      </w:r>
      <w:r w:rsidR="00C004C3" w:rsidRPr="00232CB5">
        <w:rPr>
          <w:color w:val="000000" w:themeColor="text1"/>
          <w:w w:val="0"/>
          <w:lang w:val="cs-CZ"/>
        </w:rPr>
        <w:t>7,6</w:t>
      </w:r>
      <w:r w:rsidR="00F75DF7" w:rsidRPr="00232CB5">
        <w:rPr>
          <w:color w:val="000000" w:themeColor="text1"/>
          <w:w w:val="0"/>
          <w:lang w:val="cs-CZ"/>
        </w:rPr>
        <w:t xml:space="preserve"> </w:t>
      </w:r>
      <w:r w:rsidRPr="00232CB5">
        <w:rPr>
          <w:color w:val="000000" w:themeColor="text1"/>
          <w:w w:val="0"/>
          <w:lang w:val="cs-CZ"/>
        </w:rPr>
        <w:t>miliard</w:t>
      </w:r>
      <w:r w:rsidR="00E50A83" w:rsidRPr="00232CB5">
        <w:rPr>
          <w:color w:val="000000" w:themeColor="text1"/>
          <w:w w:val="0"/>
          <w:lang w:val="cs-CZ"/>
        </w:rPr>
        <w:t>y</w:t>
      </w:r>
      <w:r w:rsidRPr="00232CB5">
        <w:rPr>
          <w:color w:val="000000" w:themeColor="text1"/>
          <w:w w:val="0"/>
          <w:lang w:val="cs-CZ"/>
        </w:rPr>
        <w:t xml:space="preserve"> korun</w:t>
      </w:r>
      <w:r w:rsidR="00770356" w:rsidRPr="00232CB5">
        <w:rPr>
          <w:rFonts w:eastAsia="Montserrat Light"/>
          <w:color w:val="000000" w:themeColor="text1"/>
          <w:lang w:val="cs-CZ"/>
        </w:rPr>
        <w:t xml:space="preserve">, </w:t>
      </w:r>
      <w:r w:rsidRPr="00232CB5">
        <w:rPr>
          <w:rFonts w:eastAsia="Montserrat Light"/>
          <w:color w:val="000000" w:themeColor="text1"/>
          <w:lang w:val="cs-CZ"/>
        </w:rPr>
        <w:t xml:space="preserve">což je meziroční nárůst o </w:t>
      </w:r>
      <w:r w:rsidR="005037E1" w:rsidRPr="00232CB5">
        <w:rPr>
          <w:color w:val="000000" w:themeColor="text1"/>
          <w:w w:val="0"/>
          <w:lang w:val="cs-CZ"/>
        </w:rPr>
        <w:t>53,1</w:t>
      </w:r>
      <w:r w:rsidR="00C5190B">
        <w:rPr>
          <w:color w:val="000000" w:themeColor="text1"/>
          <w:w w:val="0"/>
          <w:lang w:val="cs-CZ"/>
        </w:rPr>
        <w:t xml:space="preserve"> </w:t>
      </w:r>
      <w:r w:rsidR="000263F5" w:rsidRPr="00232CB5">
        <w:rPr>
          <w:rFonts w:eastAsia="Montserrat Light"/>
          <w:color w:val="000000" w:themeColor="text1"/>
          <w:lang w:val="cs-CZ"/>
        </w:rPr>
        <w:t>%,</w:t>
      </w:r>
      <w:r w:rsidR="00770356" w:rsidRPr="00232CB5">
        <w:rPr>
          <w:rFonts w:eastAsia="Montserrat Light"/>
          <w:color w:val="000000" w:themeColor="text1"/>
          <w:lang w:val="cs-CZ"/>
        </w:rPr>
        <w:t xml:space="preserve"> </w:t>
      </w:r>
      <w:r w:rsidRPr="00232CB5">
        <w:rPr>
          <w:rFonts w:eastAsia="Montserrat Light"/>
          <w:color w:val="000000" w:themeColor="text1"/>
          <w:lang w:val="cs-CZ"/>
        </w:rPr>
        <w:t xml:space="preserve">zejména díky </w:t>
      </w:r>
      <w:r w:rsidR="00684391" w:rsidRPr="00232CB5">
        <w:rPr>
          <w:rFonts w:eastAsia="Montserrat Light"/>
          <w:color w:val="000000" w:themeColor="text1"/>
          <w:lang w:val="cs-CZ"/>
        </w:rPr>
        <w:t>nárůstu prodejů ve všech regionech</w:t>
      </w:r>
      <w:r w:rsidR="005037E1" w:rsidRPr="00232CB5">
        <w:rPr>
          <w:rFonts w:eastAsia="Montserrat Light"/>
          <w:color w:val="000000" w:themeColor="text1"/>
          <w:lang w:val="cs-CZ"/>
        </w:rPr>
        <w:t xml:space="preserve"> </w:t>
      </w:r>
      <w:r w:rsidR="005037E1" w:rsidRPr="00232CB5">
        <w:rPr>
          <w:rFonts w:eastAsiaTheme="minorHAnsi"/>
          <w:lang w:val="cs-CZ" w:eastAsia="en-US"/>
        </w:rPr>
        <w:t>a konsolidac</w:t>
      </w:r>
      <w:r w:rsidR="00756121" w:rsidRPr="00232CB5">
        <w:rPr>
          <w:rFonts w:eastAsiaTheme="minorHAnsi"/>
          <w:lang w:val="cs-CZ" w:eastAsia="en-US"/>
        </w:rPr>
        <w:t>i</w:t>
      </w:r>
      <w:r w:rsidR="005037E1" w:rsidRPr="00232CB5">
        <w:rPr>
          <w:rFonts w:eastAsiaTheme="minorHAnsi"/>
          <w:lang w:val="cs-CZ" w:eastAsia="en-US"/>
        </w:rPr>
        <w:t xml:space="preserve"> výnosů </w:t>
      </w:r>
      <w:proofErr w:type="spellStart"/>
      <w:r w:rsidR="005037E1" w:rsidRPr="00232CB5">
        <w:rPr>
          <w:rFonts w:eastAsiaTheme="minorHAnsi"/>
          <w:lang w:val="cs-CZ" w:eastAsia="en-US"/>
        </w:rPr>
        <w:t>Coltu</w:t>
      </w:r>
      <w:proofErr w:type="spellEnd"/>
      <w:r w:rsidR="005037E1" w:rsidRPr="00232CB5">
        <w:rPr>
          <w:rFonts w:eastAsiaTheme="minorHAnsi"/>
          <w:lang w:val="cs-CZ" w:eastAsia="en-US"/>
        </w:rPr>
        <w:t xml:space="preserve"> od 21</w:t>
      </w:r>
      <w:r w:rsidR="00C5190B" w:rsidRPr="00232CB5">
        <w:rPr>
          <w:rFonts w:eastAsiaTheme="minorHAnsi"/>
          <w:lang w:val="cs-CZ" w:eastAsia="en-US"/>
        </w:rPr>
        <w:t>.</w:t>
      </w:r>
      <w:r w:rsidR="00C5190B">
        <w:rPr>
          <w:rFonts w:eastAsiaTheme="minorHAnsi"/>
          <w:lang w:val="cs-CZ" w:eastAsia="en-US"/>
        </w:rPr>
        <w:t> </w:t>
      </w:r>
      <w:r w:rsidR="005037E1" w:rsidRPr="00232CB5">
        <w:rPr>
          <w:rFonts w:eastAsiaTheme="minorHAnsi"/>
          <w:lang w:val="cs-CZ" w:eastAsia="en-US"/>
        </w:rPr>
        <w:t>května 2021</w:t>
      </w:r>
      <w:r w:rsidRPr="00232CB5">
        <w:rPr>
          <w:rFonts w:eastAsia="Montserrat Light"/>
          <w:color w:val="000000" w:themeColor="text1"/>
          <w:lang w:val="cs-CZ"/>
        </w:rPr>
        <w:t xml:space="preserve">.  </w:t>
      </w:r>
    </w:p>
    <w:p w14:paraId="24A9EB86" w14:textId="77777777" w:rsidR="001927CC" w:rsidRPr="00EF4FB0" w:rsidRDefault="001927CC" w:rsidP="004056E8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lang w:val="cs-CZ"/>
        </w:rPr>
      </w:pPr>
      <w:r w:rsidRPr="00232CB5">
        <w:rPr>
          <w:color w:val="000000" w:themeColor="text1"/>
          <w:w w:val="0"/>
          <w:lang w:val="cs-CZ"/>
        </w:rPr>
        <w:t xml:space="preserve">Normalizovaná EBITDA (upravená o jednorázové položky spojené s akvizicí </w:t>
      </w:r>
      <w:proofErr w:type="spellStart"/>
      <w:r w:rsidRPr="00232CB5">
        <w:rPr>
          <w:color w:val="000000" w:themeColor="text1"/>
          <w:w w:val="0"/>
          <w:lang w:val="cs-CZ"/>
        </w:rPr>
        <w:t>Coltu</w:t>
      </w:r>
      <w:proofErr w:type="spellEnd"/>
      <w:r w:rsidRPr="00232CB5">
        <w:rPr>
          <w:color w:val="000000" w:themeColor="text1"/>
          <w:w w:val="0"/>
          <w:lang w:val="cs-CZ"/>
        </w:rPr>
        <w:t>) dosáhla za</w:t>
      </w:r>
      <w:r>
        <w:rPr>
          <w:color w:val="000000" w:themeColor="text1"/>
          <w:w w:val="0"/>
          <w:lang w:val="cs-CZ"/>
        </w:rPr>
        <w:t> </w:t>
      </w:r>
      <w:r w:rsidRPr="00232CB5">
        <w:rPr>
          <w:color w:val="000000" w:themeColor="text1"/>
          <w:w w:val="0"/>
          <w:lang w:val="cs-CZ"/>
        </w:rPr>
        <w:t>první tři čtvrtletí roku 2021 výše 1 613,3 mil. Kč, tedy o 45,7 % meziročně více.</w:t>
      </w:r>
    </w:p>
    <w:p w14:paraId="3C01AF16" w14:textId="5ECC0774" w:rsidR="007315C1" w:rsidRPr="00EF4FB0" w:rsidRDefault="003E6BD8" w:rsidP="00EF4FB0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lang w:val="cs-CZ"/>
        </w:rPr>
      </w:pPr>
      <w:r w:rsidRPr="00232CB5">
        <w:rPr>
          <w:rFonts w:eastAsia="Montserrat Light"/>
          <w:color w:val="000000" w:themeColor="text1"/>
          <w:lang w:val="cs-CZ"/>
        </w:rPr>
        <w:t xml:space="preserve">Provozní výsledek hospodaření </w:t>
      </w:r>
      <w:r w:rsidR="00FE2E67" w:rsidRPr="00232CB5">
        <w:rPr>
          <w:rFonts w:eastAsia="Montserrat Light"/>
          <w:color w:val="000000" w:themeColor="text1"/>
          <w:lang w:val="cs-CZ"/>
        </w:rPr>
        <w:t>za prvních devět měsíců</w:t>
      </w:r>
      <w:r w:rsidR="00E50A83" w:rsidRPr="00232CB5">
        <w:rPr>
          <w:rFonts w:eastAsia="Montserrat Light"/>
          <w:color w:val="000000" w:themeColor="text1"/>
          <w:lang w:val="cs-CZ"/>
        </w:rPr>
        <w:t xml:space="preserve"> 2021 </w:t>
      </w:r>
      <w:r w:rsidRPr="00232CB5">
        <w:rPr>
          <w:rFonts w:eastAsia="Montserrat Light"/>
          <w:color w:val="000000" w:themeColor="text1"/>
          <w:lang w:val="cs-CZ"/>
        </w:rPr>
        <w:t xml:space="preserve">činil </w:t>
      </w:r>
      <w:r w:rsidR="00FE2E67" w:rsidRPr="00232CB5">
        <w:rPr>
          <w:color w:val="000000" w:themeColor="text1"/>
          <w:w w:val="0"/>
          <w:lang w:val="cs-CZ"/>
        </w:rPr>
        <w:t>902,0</w:t>
      </w:r>
      <w:r w:rsidR="00F75DF7" w:rsidRPr="00232CB5">
        <w:rPr>
          <w:color w:val="000000" w:themeColor="text1"/>
          <w:w w:val="0"/>
          <w:lang w:val="cs-CZ"/>
        </w:rPr>
        <w:t xml:space="preserve"> </w:t>
      </w:r>
      <w:r w:rsidRPr="00232CB5">
        <w:rPr>
          <w:color w:val="000000" w:themeColor="text1"/>
          <w:w w:val="0"/>
          <w:lang w:val="cs-CZ"/>
        </w:rPr>
        <w:t>m</w:t>
      </w:r>
      <w:r w:rsidR="000263F5" w:rsidRPr="00232CB5">
        <w:rPr>
          <w:color w:val="000000" w:themeColor="text1"/>
          <w:w w:val="0"/>
          <w:lang w:val="cs-CZ"/>
        </w:rPr>
        <w:t>il.</w:t>
      </w:r>
      <w:r w:rsidRPr="00232CB5">
        <w:rPr>
          <w:color w:val="000000" w:themeColor="text1"/>
          <w:w w:val="0"/>
          <w:lang w:val="cs-CZ"/>
        </w:rPr>
        <w:t xml:space="preserve"> Kč</w:t>
      </w:r>
      <w:r w:rsidR="00D5018D" w:rsidRPr="00232CB5">
        <w:rPr>
          <w:rFonts w:eastAsia="Montserrat Light"/>
          <w:color w:val="000000" w:themeColor="text1"/>
          <w:lang w:val="cs-CZ"/>
        </w:rPr>
        <w:t xml:space="preserve">, </w:t>
      </w:r>
      <w:r w:rsidRPr="00232CB5">
        <w:rPr>
          <w:rFonts w:eastAsia="Montserrat Light"/>
          <w:color w:val="000000" w:themeColor="text1"/>
          <w:lang w:val="cs-CZ"/>
        </w:rPr>
        <w:t>o</w:t>
      </w:r>
      <w:r w:rsidR="00D5018D" w:rsidRPr="00232CB5">
        <w:rPr>
          <w:rFonts w:eastAsia="Montserrat Light"/>
          <w:color w:val="000000" w:themeColor="text1"/>
          <w:lang w:val="cs-CZ"/>
        </w:rPr>
        <w:t xml:space="preserve"> </w:t>
      </w:r>
      <w:r w:rsidR="00FE2E67" w:rsidRPr="00232CB5">
        <w:rPr>
          <w:color w:val="000000" w:themeColor="text1"/>
          <w:w w:val="0"/>
          <w:lang w:val="cs-CZ"/>
        </w:rPr>
        <w:t>10,</w:t>
      </w:r>
      <w:r w:rsidR="00E50A83" w:rsidRPr="00232CB5">
        <w:rPr>
          <w:color w:val="000000" w:themeColor="text1"/>
          <w:w w:val="0"/>
          <w:lang w:val="cs-CZ"/>
        </w:rPr>
        <w:t>6</w:t>
      </w:r>
      <w:r w:rsidRPr="00232CB5">
        <w:rPr>
          <w:color w:val="000000" w:themeColor="text1"/>
          <w:w w:val="0"/>
          <w:lang w:val="cs-CZ"/>
        </w:rPr>
        <w:t xml:space="preserve"> </w:t>
      </w:r>
      <w:r w:rsidR="00D5018D" w:rsidRPr="00232CB5">
        <w:rPr>
          <w:rFonts w:eastAsia="Montserrat Light"/>
          <w:color w:val="000000" w:themeColor="text1"/>
          <w:lang w:val="cs-CZ"/>
        </w:rPr>
        <w:t xml:space="preserve">% </w:t>
      </w:r>
      <w:r w:rsidRPr="00232CB5">
        <w:rPr>
          <w:rFonts w:eastAsia="Montserrat Light"/>
          <w:color w:val="000000" w:themeColor="text1"/>
          <w:lang w:val="cs-CZ"/>
        </w:rPr>
        <w:t xml:space="preserve">více </w:t>
      </w:r>
      <w:r w:rsidR="00BD51C0">
        <w:rPr>
          <w:rFonts w:eastAsia="Montserrat Light"/>
          <w:color w:val="000000" w:themeColor="text1"/>
          <w:lang w:val="cs-CZ"/>
        </w:rPr>
        <w:t>než</w:t>
      </w:r>
      <w:r w:rsidRPr="00232CB5">
        <w:rPr>
          <w:rFonts w:eastAsia="Montserrat Light"/>
          <w:color w:val="000000" w:themeColor="text1"/>
          <w:lang w:val="cs-CZ"/>
        </w:rPr>
        <w:t xml:space="preserve"> </w:t>
      </w:r>
      <w:r w:rsidR="00FE2E67" w:rsidRPr="00232CB5">
        <w:rPr>
          <w:rFonts w:eastAsia="Montserrat Light"/>
          <w:color w:val="000000" w:themeColor="text1"/>
          <w:lang w:val="cs-CZ"/>
        </w:rPr>
        <w:t>za prvních devět měsíců</w:t>
      </w:r>
      <w:r w:rsidR="00FE2E67" w:rsidRPr="00232CB5" w:rsidDel="00FE2E67">
        <w:rPr>
          <w:rFonts w:eastAsia="Montserrat Light"/>
          <w:color w:val="000000" w:themeColor="text1"/>
          <w:lang w:val="cs-CZ"/>
        </w:rPr>
        <w:t xml:space="preserve"> </w:t>
      </w:r>
      <w:r w:rsidR="00C5190B">
        <w:rPr>
          <w:rFonts w:eastAsia="Montserrat Light"/>
          <w:color w:val="000000" w:themeColor="text1"/>
          <w:lang w:val="cs-CZ"/>
        </w:rPr>
        <w:t xml:space="preserve">roku </w:t>
      </w:r>
      <w:r w:rsidR="00E50A83" w:rsidRPr="00232CB5">
        <w:rPr>
          <w:rFonts w:eastAsia="Montserrat Light"/>
          <w:color w:val="000000" w:themeColor="text1"/>
          <w:lang w:val="cs-CZ"/>
        </w:rPr>
        <w:t>2020</w:t>
      </w:r>
      <w:r w:rsidR="00F85D38">
        <w:rPr>
          <w:rFonts w:eastAsia="Montserrat Light"/>
          <w:color w:val="000000" w:themeColor="text1"/>
          <w:lang w:val="cs-CZ"/>
        </w:rPr>
        <w:t>. N</w:t>
      </w:r>
      <w:r w:rsidR="00722E98">
        <w:rPr>
          <w:rFonts w:eastAsia="Montserrat Light"/>
          <w:color w:val="000000" w:themeColor="text1"/>
          <w:lang w:val="cs-CZ"/>
        </w:rPr>
        <w:t>ižší nárůst v porovnání s EBITDA je zapříčiněn zejména nárůstem odpisů a amortizace</w:t>
      </w:r>
      <w:r w:rsidR="00F85D38">
        <w:rPr>
          <w:rFonts w:eastAsia="Montserrat Light"/>
          <w:color w:val="000000" w:themeColor="text1"/>
          <w:lang w:val="cs-CZ"/>
        </w:rPr>
        <w:t>,</w:t>
      </w:r>
      <w:r w:rsidR="00722E98">
        <w:rPr>
          <w:rFonts w:eastAsia="Montserrat Light"/>
          <w:color w:val="000000" w:themeColor="text1"/>
          <w:lang w:val="cs-CZ"/>
        </w:rPr>
        <w:t xml:space="preserve"> a to i v souvislosti s akvizicí </w:t>
      </w:r>
      <w:r w:rsidR="00F85D38">
        <w:rPr>
          <w:rFonts w:eastAsia="Montserrat Light"/>
          <w:color w:val="000000" w:themeColor="text1"/>
          <w:lang w:val="cs-CZ"/>
        </w:rPr>
        <w:t xml:space="preserve">společnosti </w:t>
      </w:r>
      <w:r w:rsidR="00722E98">
        <w:rPr>
          <w:rFonts w:eastAsia="Montserrat Light"/>
          <w:color w:val="000000" w:themeColor="text1"/>
          <w:lang w:val="cs-CZ"/>
        </w:rPr>
        <w:t xml:space="preserve">Colt </w:t>
      </w:r>
    </w:p>
    <w:p w14:paraId="6AAFB31D" w14:textId="5AB3C8D8" w:rsidR="00BF4CBD" w:rsidRPr="00232CB5" w:rsidRDefault="00BF4CBD" w:rsidP="004056E8">
      <w:pPr>
        <w:pStyle w:val="Odstavecseseznamem"/>
        <w:numPr>
          <w:ilvl w:val="0"/>
          <w:numId w:val="23"/>
        </w:numPr>
        <w:spacing w:after="0" w:line="276" w:lineRule="auto"/>
        <w:rPr>
          <w:rFonts w:eastAsia="Montserrat Light"/>
          <w:color w:val="000000" w:themeColor="text1"/>
          <w:lang w:val="cs-CZ"/>
        </w:rPr>
      </w:pPr>
      <w:r w:rsidRPr="00232CB5">
        <w:rPr>
          <w:color w:val="000000" w:themeColor="text1"/>
          <w:w w:val="0"/>
          <w:lang w:val="cs-CZ"/>
        </w:rPr>
        <w:t>Čistý zisk po zdanění dosáhl za první tři čtvrtletí roku 902,8 milionu Kč, což je o 89,1</w:t>
      </w:r>
      <w:r w:rsidR="00CA4F40" w:rsidRPr="00232CB5">
        <w:rPr>
          <w:color w:val="000000" w:themeColor="text1"/>
          <w:w w:val="0"/>
          <w:lang w:val="cs-CZ"/>
        </w:rPr>
        <w:t xml:space="preserve"> </w:t>
      </w:r>
      <w:r w:rsidRPr="00232CB5">
        <w:rPr>
          <w:color w:val="000000" w:themeColor="text1"/>
          <w:w w:val="0"/>
          <w:lang w:val="cs-CZ"/>
        </w:rPr>
        <w:t>% více než ve stejném období loňského roku.</w:t>
      </w:r>
    </w:p>
    <w:p w14:paraId="2625837C" w14:textId="5D6648AF" w:rsidR="00424319" w:rsidRPr="00232CB5" w:rsidRDefault="00730EBD" w:rsidP="004056E8">
      <w:pPr>
        <w:pStyle w:val="Odstavecseseznamem"/>
        <w:numPr>
          <w:ilvl w:val="0"/>
          <w:numId w:val="23"/>
        </w:numPr>
        <w:rPr>
          <w:color w:val="000000" w:themeColor="text1"/>
          <w:w w:val="0"/>
          <w:lang w:val="cs-CZ"/>
        </w:rPr>
      </w:pPr>
      <w:r w:rsidRPr="00232CB5">
        <w:rPr>
          <w:color w:val="000000" w:themeColor="text1"/>
          <w:w w:val="0"/>
          <w:lang w:val="cs-CZ"/>
        </w:rPr>
        <w:t xml:space="preserve">Počet prodaných zbraní se za </w:t>
      </w:r>
      <w:r w:rsidR="00E50A83" w:rsidRPr="00232CB5">
        <w:rPr>
          <w:color w:val="000000" w:themeColor="text1"/>
          <w:w w:val="0"/>
          <w:lang w:val="cs-CZ"/>
        </w:rPr>
        <w:t xml:space="preserve">první tři </w:t>
      </w:r>
      <w:r w:rsidR="00FE2E67" w:rsidRPr="00232CB5">
        <w:rPr>
          <w:color w:val="000000" w:themeColor="text1"/>
          <w:w w:val="0"/>
          <w:lang w:val="cs-CZ"/>
        </w:rPr>
        <w:t xml:space="preserve">čtvrtletí </w:t>
      </w:r>
      <w:r w:rsidR="00E50A83" w:rsidRPr="00232CB5">
        <w:rPr>
          <w:color w:val="000000" w:themeColor="text1"/>
          <w:w w:val="0"/>
          <w:lang w:val="cs-CZ"/>
        </w:rPr>
        <w:t>roku 2021</w:t>
      </w:r>
      <w:r w:rsidRPr="00232CB5">
        <w:rPr>
          <w:color w:val="000000" w:themeColor="text1"/>
          <w:w w:val="0"/>
          <w:lang w:val="cs-CZ"/>
        </w:rPr>
        <w:t xml:space="preserve"> zvýšil o </w:t>
      </w:r>
      <w:r w:rsidR="006E6294" w:rsidRPr="00232CB5">
        <w:rPr>
          <w:color w:val="000000" w:themeColor="text1"/>
          <w:w w:val="0"/>
          <w:lang w:val="cs-CZ"/>
        </w:rPr>
        <w:t>37,2</w:t>
      </w:r>
      <w:r w:rsidR="00232CB5">
        <w:rPr>
          <w:color w:val="000000" w:themeColor="text1"/>
          <w:w w:val="0"/>
          <w:lang w:val="cs-CZ"/>
        </w:rPr>
        <w:t xml:space="preserve"> </w:t>
      </w:r>
      <w:r w:rsidRPr="00232CB5">
        <w:rPr>
          <w:color w:val="000000" w:themeColor="text1"/>
          <w:w w:val="0"/>
          <w:lang w:val="cs-CZ"/>
        </w:rPr>
        <w:t xml:space="preserve">% ve srovnání </w:t>
      </w:r>
      <w:r w:rsidR="00FE2E67" w:rsidRPr="00232CB5">
        <w:rPr>
          <w:color w:val="000000" w:themeColor="text1"/>
          <w:w w:val="0"/>
          <w:lang w:val="cs-CZ"/>
        </w:rPr>
        <w:t>se stejným obdobím</w:t>
      </w:r>
      <w:r w:rsidR="00E50A83" w:rsidRPr="00232CB5">
        <w:rPr>
          <w:color w:val="000000" w:themeColor="text1"/>
          <w:w w:val="0"/>
          <w:lang w:val="cs-CZ"/>
        </w:rPr>
        <w:t xml:space="preserve"> roku 2020</w:t>
      </w:r>
      <w:r w:rsidRPr="00232CB5">
        <w:rPr>
          <w:color w:val="000000" w:themeColor="text1"/>
          <w:w w:val="0"/>
          <w:lang w:val="cs-CZ"/>
        </w:rPr>
        <w:t xml:space="preserve"> a </w:t>
      </w:r>
      <w:r w:rsidR="00507F83">
        <w:rPr>
          <w:color w:val="000000" w:themeColor="text1"/>
          <w:w w:val="0"/>
          <w:lang w:val="cs-CZ"/>
        </w:rPr>
        <w:t>překonal</w:t>
      </w:r>
      <w:r w:rsidR="006E6294" w:rsidRPr="00232CB5">
        <w:rPr>
          <w:rFonts w:eastAsia="Montserrat Light"/>
          <w:color w:val="000000" w:themeColor="text1"/>
          <w:lang w:val="cs-CZ"/>
        </w:rPr>
        <w:t xml:space="preserve"> 463 tisíc</w:t>
      </w:r>
      <w:r w:rsidRPr="00232CB5">
        <w:rPr>
          <w:rFonts w:eastAsia="Montserrat Light"/>
          <w:color w:val="000000" w:themeColor="text1"/>
          <w:lang w:val="cs-CZ"/>
        </w:rPr>
        <w:t xml:space="preserve"> </w:t>
      </w:r>
      <w:r w:rsidRPr="00232CB5">
        <w:rPr>
          <w:color w:val="000000" w:themeColor="text1"/>
          <w:w w:val="0"/>
          <w:lang w:val="cs-CZ"/>
        </w:rPr>
        <w:t>prodaných kusů.</w:t>
      </w:r>
    </w:p>
    <w:p w14:paraId="5CB6DC4F" w14:textId="77777777" w:rsidR="00EF4FB0" w:rsidRDefault="00EF4FB0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F7B203" w14:textId="615100FD" w:rsidR="007A7F42" w:rsidRPr="00232CB5" w:rsidRDefault="00821B0E" w:rsidP="004056E8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F4FB0">
        <w:rPr>
          <w:rFonts w:ascii="Calibri" w:hAnsi="Calibri" w:cs="Calibri"/>
          <w:i/>
          <w:iCs/>
          <w:sz w:val="22"/>
          <w:szCs w:val="22"/>
        </w:rPr>
        <w:t xml:space="preserve">„Výsledky </w:t>
      </w:r>
      <w:r w:rsidR="00FE2E67" w:rsidRPr="00EF4FB0">
        <w:rPr>
          <w:rFonts w:ascii="Calibri" w:hAnsi="Calibri" w:cs="Calibri"/>
          <w:i/>
          <w:iCs/>
          <w:sz w:val="22"/>
          <w:szCs w:val="22"/>
        </w:rPr>
        <w:t>za prvních devět měsíců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 2021 zřetelně ukazují, že strategie naší </w:t>
      </w:r>
      <w:r w:rsidR="00F52064" w:rsidRPr="00EF4FB0">
        <w:rPr>
          <w:rFonts w:ascii="Calibri" w:hAnsi="Calibri" w:cs="Calibri"/>
          <w:i/>
          <w:iCs/>
          <w:sz w:val="22"/>
          <w:szCs w:val="22"/>
        </w:rPr>
        <w:t>S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kupiny, </w:t>
      </w:r>
      <w:r w:rsidR="00507F83" w:rsidRPr="00EF4FB0">
        <w:rPr>
          <w:rFonts w:ascii="Calibri" w:hAnsi="Calibri" w:cs="Calibri"/>
          <w:i/>
          <w:iCs/>
          <w:sz w:val="22"/>
          <w:szCs w:val="22"/>
        </w:rPr>
        <w:t>síla klíčových značek</w:t>
      </w:r>
      <w:r w:rsidR="001F0064" w:rsidRPr="00EF4FB0">
        <w:rPr>
          <w:rFonts w:ascii="Calibri" w:hAnsi="Calibri" w:cs="Calibri"/>
          <w:i/>
          <w:iCs/>
          <w:sz w:val="22"/>
          <w:szCs w:val="22"/>
        </w:rPr>
        <w:t xml:space="preserve">, a 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produktový mix </w:t>
      </w:r>
      <w:r w:rsidR="00507F83" w:rsidRPr="00EF4FB0">
        <w:rPr>
          <w:rFonts w:ascii="Calibri" w:hAnsi="Calibri" w:cs="Calibri"/>
          <w:i/>
          <w:iCs/>
          <w:sz w:val="22"/>
          <w:szCs w:val="22"/>
        </w:rPr>
        <w:t xml:space="preserve">v kombinaci s cenovou </w:t>
      </w:r>
      <w:r w:rsidRPr="00EF4FB0">
        <w:rPr>
          <w:rFonts w:ascii="Calibri" w:hAnsi="Calibri" w:cs="Calibri"/>
          <w:i/>
          <w:iCs/>
          <w:sz w:val="22"/>
          <w:szCs w:val="22"/>
        </w:rPr>
        <w:t>politik</w:t>
      </w:r>
      <w:r w:rsidR="00D557CB" w:rsidRPr="00EF4FB0">
        <w:rPr>
          <w:rFonts w:ascii="Calibri" w:hAnsi="Calibri" w:cs="Calibri"/>
          <w:i/>
          <w:iCs/>
          <w:sz w:val="22"/>
          <w:szCs w:val="22"/>
        </w:rPr>
        <w:t>ou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 w:rsidR="00C5190B" w:rsidRPr="00EF4FB0">
        <w:rPr>
          <w:rFonts w:ascii="Calibri" w:hAnsi="Calibri" w:cs="Calibri"/>
          <w:i/>
          <w:iCs/>
          <w:sz w:val="22"/>
          <w:szCs w:val="22"/>
        </w:rPr>
        <w:t>dokáž</w:t>
      </w:r>
      <w:r w:rsidR="00C5190B">
        <w:rPr>
          <w:rFonts w:ascii="Calibri" w:hAnsi="Calibri" w:cs="Calibri"/>
          <w:i/>
          <w:iCs/>
          <w:sz w:val="22"/>
          <w:szCs w:val="22"/>
        </w:rPr>
        <w:t>í</w:t>
      </w:r>
      <w:proofErr w:type="gramEnd"/>
      <w:r w:rsidR="00C5190B" w:rsidRPr="00EF4F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C3897" w:rsidRPr="00EF4FB0">
        <w:rPr>
          <w:rFonts w:ascii="Calibri" w:hAnsi="Calibri" w:cs="Calibri"/>
          <w:i/>
          <w:iCs/>
          <w:sz w:val="22"/>
          <w:szCs w:val="22"/>
        </w:rPr>
        <w:t xml:space="preserve">splnit </w:t>
      </w:r>
      <w:r w:rsidR="00F2120C" w:rsidRPr="00EF4FB0">
        <w:rPr>
          <w:rFonts w:ascii="Calibri" w:hAnsi="Calibri" w:cs="Calibri"/>
          <w:i/>
          <w:iCs/>
          <w:sz w:val="22"/>
          <w:szCs w:val="22"/>
        </w:rPr>
        <w:t xml:space="preserve">očekávání našich zákazníků a zároveň tvoří </w:t>
      </w:r>
      <w:r w:rsidRPr="00EF4FB0">
        <w:rPr>
          <w:rFonts w:ascii="Calibri" w:hAnsi="Calibri" w:cs="Calibri"/>
          <w:i/>
          <w:iCs/>
          <w:sz w:val="22"/>
          <w:szCs w:val="22"/>
        </w:rPr>
        <w:t>dlouhodo</w:t>
      </w:r>
      <w:r w:rsidR="00F2120C" w:rsidRPr="00EF4FB0">
        <w:rPr>
          <w:rFonts w:ascii="Calibri" w:hAnsi="Calibri" w:cs="Calibri"/>
          <w:i/>
          <w:iCs/>
          <w:sz w:val="22"/>
          <w:szCs w:val="22"/>
        </w:rPr>
        <w:t xml:space="preserve">bou hodnotu </w:t>
      </w:r>
      <w:r w:rsidR="00BE1F19" w:rsidRPr="00EF4FB0">
        <w:rPr>
          <w:rFonts w:ascii="Calibri" w:hAnsi="Calibri" w:cs="Calibri"/>
          <w:i/>
          <w:iCs/>
          <w:sz w:val="22"/>
          <w:szCs w:val="22"/>
        </w:rPr>
        <w:t xml:space="preserve">pro naše </w:t>
      </w:r>
      <w:r w:rsidR="00F2120C" w:rsidRPr="00EF4FB0">
        <w:rPr>
          <w:rFonts w:ascii="Calibri" w:hAnsi="Calibri" w:cs="Calibri"/>
          <w:i/>
          <w:iCs/>
          <w:sz w:val="22"/>
          <w:szCs w:val="22"/>
        </w:rPr>
        <w:t>investor</w:t>
      </w:r>
      <w:r w:rsidR="00016A49" w:rsidRPr="00EF4FB0">
        <w:rPr>
          <w:rFonts w:ascii="Calibri" w:hAnsi="Calibri" w:cs="Calibri"/>
          <w:i/>
          <w:iCs/>
          <w:sz w:val="22"/>
          <w:szCs w:val="22"/>
        </w:rPr>
        <w:t>y</w:t>
      </w:r>
      <w:r w:rsidR="00C5190B">
        <w:rPr>
          <w:rFonts w:ascii="Calibri" w:hAnsi="Calibri" w:cs="Calibri"/>
          <w:i/>
          <w:iCs/>
          <w:sz w:val="22"/>
          <w:szCs w:val="22"/>
        </w:rPr>
        <w:t>,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” </w:t>
      </w:r>
      <w:r w:rsidRPr="00EF4FB0">
        <w:rPr>
          <w:rFonts w:ascii="Calibri" w:hAnsi="Calibri" w:cs="Calibri"/>
          <w:sz w:val="22"/>
          <w:szCs w:val="22"/>
        </w:rPr>
        <w:t>komentoval výsledky</w:t>
      </w:r>
      <w:r w:rsidRPr="00EF4F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004C3" w:rsidRPr="00EF4FB0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Jan Drahota</w:t>
      </w:r>
      <w:r w:rsidR="00631A42" w:rsidRPr="00EF4FB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544402" w:rsidRPr="00EF4FB0">
        <w:rPr>
          <w:rFonts w:ascii="Calibri" w:hAnsi="Calibri" w:cs="Calibri"/>
          <w:b/>
          <w:bCs/>
          <w:color w:val="000000" w:themeColor="text1"/>
          <w:sz w:val="22"/>
          <w:szCs w:val="22"/>
        </w:rPr>
        <w:t>předseda představenstva CZG</w:t>
      </w:r>
      <w:r w:rsidR="00631A42" w:rsidRPr="00EF4FB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E65B57" w:rsidRPr="00E65B57">
        <w:rPr>
          <w:rFonts w:ascii="Calibri" w:hAnsi="Calibri" w:cs="Calibri"/>
          <w:i/>
          <w:iCs/>
          <w:color w:val="000000" w:themeColor="text1"/>
          <w:sz w:val="22"/>
          <w:szCs w:val="22"/>
        </w:rPr>
        <w:t>„Zaznamenali jsme nárůst tržeb ve všech teritoriích. Spojené státy i nadále zůstávají největším trhem pro naši skupinu. Těší nás pokračující spolupráce s Armádou České republiky,</w:t>
      </w:r>
      <w:r w:rsidR="00E65B57" w:rsidRPr="00E65B5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65B57" w:rsidRPr="00E65B57">
        <w:rPr>
          <w:rFonts w:ascii="Calibri" w:hAnsi="Calibri" w:cs="Calibri"/>
          <w:i/>
          <w:iCs/>
          <w:color w:val="000000" w:themeColor="text1"/>
          <w:sz w:val="22"/>
          <w:szCs w:val="22"/>
        </w:rPr>
        <w:t>kdy se ve třetím čtvrtletí rozeběhly dodávky pod rámcovou smlouvou. Konkrétně se jednalo o dodávky útočných pušek BREN 2 s příslušenstvím,“</w:t>
      </w:r>
      <w:r w:rsidR="00E65B57" w:rsidRPr="00E65B57">
        <w:rPr>
          <w:rFonts w:ascii="Calibri" w:hAnsi="Calibri" w:cs="Calibri"/>
          <w:color w:val="000000" w:themeColor="text1"/>
          <w:sz w:val="22"/>
          <w:szCs w:val="22"/>
        </w:rPr>
        <w:t xml:space="preserve"> doplnil Jan Drahota</w:t>
      </w:r>
      <w:r w:rsidR="00E65B5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265E7C2" w14:textId="77777777" w:rsidR="00237AC2" w:rsidRDefault="00237AC2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6698EABD" w14:textId="77777777" w:rsidR="00237AC2" w:rsidRDefault="00237AC2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F1B2E6A" w14:textId="77777777" w:rsidR="00237AC2" w:rsidRDefault="00237AC2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025FB6CD" w14:textId="137232FF" w:rsidR="00804CC6" w:rsidRPr="00232CB5" w:rsidRDefault="00F30DE4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lastRenderedPageBreak/>
        <w:t>Výnosy</w:t>
      </w:r>
    </w:p>
    <w:p w14:paraId="31ECD16F" w14:textId="08273A38" w:rsidR="008879C5" w:rsidRPr="00232CB5" w:rsidRDefault="008879C5" w:rsidP="00CA4F40">
      <w:p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Oproti výsledku k 30. </w:t>
      </w:r>
      <w:r w:rsidR="00FE2E6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září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2020 výnosy za první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ch devět měsíců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2021 k 30.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>září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82C5F" w:rsidRPr="00232CB5">
        <w:rPr>
          <w:rFonts w:ascii="Calibri" w:eastAsiaTheme="minorHAnsi" w:hAnsi="Calibri" w:cs="Calibri"/>
          <w:sz w:val="22"/>
          <w:szCs w:val="22"/>
          <w:lang w:eastAsia="en-US"/>
        </w:rPr>
        <w:t>vzrostly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o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>53,1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%, na</w:t>
      </w:r>
      <w:r w:rsidR="00BD51C0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celkovou částku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>7,6 m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ld. Kč, zejména díky růstu </w:t>
      </w:r>
      <w:r w:rsidR="00A860DC" w:rsidRPr="00232CB5">
        <w:rPr>
          <w:rFonts w:ascii="Calibri" w:eastAsiaTheme="minorHAnsi" w:hAnsi="Calibri" w:cs="Calibri"/>
          <w:sz w:val="22"/>
          <w:szCs w:val="22"/>
          <w:lang w:eastAsia="en-US"/>
        </w:rPr>
        <w:t>prodaného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počtu zbraní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A860D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vyšším</w:t>
      </w:r>
      <w:r w:rsidR="00E4249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prodejů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ve </w:t>
      </w:r>
      <w:r w:rsidR="00A82C5F" w:rsidRPr="00232CB5">
        <w:rPr>
          <w:rFonts w:ascii="Calibri" w:eastAsiaTheme="minorHAnsi" w:hAnsi="Calibri" w:cs="Calibri"/>
          <w:sz w:val="22"/>
          <w:szCs w:val="22"/>
          <w:lang w:eastAsia="en-US"/>
        </w:rPr>
        <w:t>všech regionech (viz tabulka níže)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a konsolidac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výnosů </w:t>
      </w:r>
      <w:proofErr w:type="spellStart"/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Coltu</w:t>
      </w:r>
      <w:proofErr w:type="spellEnd"/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od 21. května 2021.</w:t>
      </w:r>
    </w:p>
    <w:p w14:paraId="70622F77" w14:textId="7940D44A" w:rsidR="008879C5" w:rsidRPr="00232CB5" w:rsidRDefault="00A82C5F" w:rsidP="00CA4F40">
      <w:p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Výnosy v ČR za devět měsíců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k 30.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>září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vzrostly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o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6,9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%, na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522,4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mil. Kč.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Nižší prodeje z prvního pololetí tohoto roku byly kompenzovány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první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realizac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í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dodávek</w:t>
      </w:r>
      <w:r w:rsidR="00945822">
        <w:rPr>
          <w:rFonts w:ascii="Calibri" w:eastAsiaTheme="minorHAnsi" w:hAnsi="Calibri" w:cs="Calibri"/>
          <w:sz w:val="22"/>
          <w:szCs w:val="22"/>
          <w:lang w:eastAsia="en-US"/>
        </w:rPr>
        <w:t xml:space="preserve"> Armádě ČR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pod rámcovou smlouvou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, jež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4264F" w:rsidRPr="00945822">
        <w:rPr>
          <w:rFonts w:ascii="Calibri" w:eastAsiaTheme="minorHAnsi" w:hAnsi="Calibri" w:cs="Calibri"/>
          <w:sz w:val="22"/>
          <w:szCs w:val="22"/>
          <w:lang w:eastAsia="en-US"/>
        </w:rPr>
        <w:t>započal</w:t>
      </w:r>
      <w:r w:rsidRPr="00945822">
        <w:rPr>
          <w:rFonts w:ascii="Calibri" w:eastAsiaTheme="minorHAnsi" w:hAnsi="Calibri" w:cs="Calibri"/>
          <w:sz w:val="22"/>
          <w:szCs w:val="22"/>
          <w:lang w:eastAsia="en-US"/>
        </w:rPr>
        <w:t>y</w:t>
      </w:r>
      <w:r w:rsidR="0044264F" w:rsidRPr="0094582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45822">
        <w:rPr>
          <w:rFonts w:ascii="Calibri" w:eastAsiaTheme="minorHAnsi" w:hAnsi="Calibri" w:cs="Calibri"/>
          <w:sz w:val="22"/>
          <w:szCs w:val="22"/>
          <w:lang w:eastAsia="en-US"/>
        </w:rPr>
        <w:t>v samotném třetím čtvrtletí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Výnosy z prodejů ve Spojených státech vzrostly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>za prvních devět měsíců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meziročně o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02192">
        <w:rPr>
          <w:rFonts w:ascii="Calibri" w:eastAsiaTheme="minorHAnsi" w:hAnsi="Calibri" w:cs="Calibri"/>
          <w:sz w:val="22"/>
          <w:szCs w:val="22"/>
          <w:lang w:eastAsia="en-US"/>
        </w:rPr>
        <w:t>29,6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 na </w:t>
      </w:r>
      <w:r w:rsidRPr="004D4FB2">
        <w:rPr>
          <w:rFonts w:ascii="Calibri" w:eastAsiaTheme="minorHAnsi" w:hAnsi="Calibri" w:cs="Calibri"/>
          <w:sz w:val="22"/>
          <w:szCs w:val="22"/>
          <w:lang w:eastAsia="en-US"/>
        </w:rPr>
        <w:t>4,5</w:t>
      </w:r>
      <w:r w:rsidR="0044264F" w:rsidRPr="004D4FB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6A49" w:rsidRPr="004D4FB2">
        <w:rPr>
          <w:rFonts w:ascii="Calibri" w:eastAsiaTheme="minorHAnsi" w:hAnsi="Calibri" w:cs="Calibri"/>
          <w:sz w:val="22"/>
          <w:szCs w:val="22"/>
          <w:lang w:eastAsia="en-US"/>
        </w:rPr>
        <w:t>mld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. Kč především díky nárůstu poptávky na komerčním trhu a konsolidovaným výnos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ům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Coltu</w:t>
      </w:r>
      <w:proofErr w:type="spellEnd"/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 USA. Vzhledem k akvizici </w:t>
      </w:r>
      <w:proofErr w:type="spellStart"/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Coltu</w:t>
      </w:r>
      <w:proofErr w:type="spellEnd"/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začala </w:t>
      </w:r>
      <w:r w:rsidR="00016A49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Skupina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>vykazovat výnosy realizované v Kanadě, které za první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ch devět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měsíců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2021 činily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329,6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milionu Kč, což je </w:t>
      </w:r>
      <w:r w:rsidR="00E4249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meziročně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323,8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 více. Výnosy dosažené v Evropě (vyjma ČR) </w:t>
      </w:r>
      <w:r w:rsidR="00E4249C" w:rsidRPr="00232CB5">
        <w:rPr>
          <w:rFonts w:ascii="Calibri" w:eastAsiaTheme="minorHAnsi" w:hAnsi="Calibri" w:cs="Calibri"/>
          <w:sz w:val="22"/>
          <w:szCs w:val="22"/>
          <w:lang w:eastAsia="en-US"/>
        </w:rPr>
        <w:t>za prvních devět měsíců do 30. září 2021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se meziročně </w:t>
      </w:r>
      <w:r w:rsidR="0044264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zvýšily 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21,7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%, na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733,3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 Kč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8879C5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zejména v důsledku nárůstu prodejů v zemích střední a východní Evropy.</w:t>
      </w:r>
    </w:p>
    <w:p w14:paraId="188EE4F2" w14:textId="12C9F24E" w:rsidR="000263F5" w:rsidRPr="00232CB5" w:rsidRDefault="008879C5" w:rsidP="00CA4F40">
      <w:p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Výnosy dosažené v Africe vzrostly za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prvních devět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měsíců 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roku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o </w:t>
      </w:r>
      <w:r w:rsidR="00A82C5F" w:rsidRPr="00232CB5">
        <w:rPr>
          <w:rFonts w:ascii="Calibri" w:eastAsiaTheme="minorHAnsi" w:hAnsi="Calibri" w:cs="Calibri"/>
          <w:sz w:val="22"/>
          <w:szCs w:val="22"/>
          <w:lang w:eastAsia="en-US"/>
        </w:rPr>
        <w:t>209,6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 na </w:t>
      </w:r>
      <w:r w:rsidR="00A82C5F" w:rsidRPr="00232CB5">
        <w:rPr>
          <w:rFonts w:ascii="Calibri" w:eastAsiaTheme="minorHAnsi" w:hAnsi="Calibri" w:cs="Calibri"/>
          <w:sz w:val="22"/>
          <w:szCs w:val="22"/>
          <w:lang w:eastAsia="en-US"/>
        </w:rPr>
        <w:t>673,3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 Kč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, a to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díky dodávkám zákazníkům z ozbrojených složek. Výnosy v Asii se za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prvních devět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měsíců 2021 zvýšily o </w:t>
      </w:r>
      <w:r w:rsidR="00A82C5F" w:rsidRPr="00232CB5">
        <w:rPr>
          <w:rFonts w:ascii="Calibri" w:eastAsiaTheme="minorHAnsi" w:hAnsi="Calibri" w:cs="Calibri"/>
          <w:sz w:val="22"/>
          <w:szCs w:val="22"/>
          <w:lang w:eastAsia="en-US"/>
        </w:rPr>
        <w:t>79,1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 na hodnotu</w:t>
      </w:r>
      <w:r w:rsidR="00A82C5F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548,4 mil.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Kč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v důsledku nárůstu prodejů odběratelům z</w:t>
      </w:r>
      <w:r w:rsidR="00BD51C0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řad ozbrojených složek i komerčním zákazníkům. </w:t>
      </w:r>
      <w:bookmarkStart w:id="0" w:name="_Hlk67647981"/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Výnosy z prodejů do ostatních částí světa dosáhly za první tři kvartály roku 2021 hodnoty 297,2 mil. Kč a meziročně tak vzrostly o </w:t>
      </w:r>
      <w:r w:rsidR="00232CB5" w:rsidRPr="00232CB5">
        <w:rPr>
          <w:rFonts w:ascii="Calibri" w:eastAsiaTheme="minorHAnsi" w:hAnsi="Calibri" w:cs="Calibri"/>
          <w:sz w:val="22"/>
          <w:szCs w:val="22"/>
          <w:lang w:eastAsia="en-US"/>
        </w:rPr>
        <w:t>322,7 %</w:t>
      </w:r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72152D70" w14:textId="10ABD4C3" w:rsidR="001F7060" w:rsidRPr="00232CB5" w:rsidRDefault="001F7060" w:rsidP="004056E8">
      <w:pPr>
        <w:pStyle w:val="DocText"/>
        <w:spacing w:before="120"/>
        <w:rPr>
          <w:rFonts w:ascii="Calibri" w:eastAsia="Calibri" w:hAnsi="Calibri"/>
          <w:sz w:val="22"/>
          <w:lang w:val="cs-CZ"/>
        </w:rPr>
      </w:pPr>
      <w:r w:rsidRPr="00232CB5">
        <w:rPr>
          <w:rFonts w:ascii="Calibri" w:eastAsia="Calibri" w:hAnsi="Calibri"/>
          <w:sz w:val="22"/>
          <w:lang w:val="cs-CZ"/>
        </w:rPr>
        <w:t>Tabulka rozdělení příjmů Skupiny ve sledovaných obdobích podle regionu: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6"/>
        <w:gridCol w:w="1761"/>
        <w:gridCol w:w="1489"/>
        <w:gridCol w:w="1485"/>
        <w:gridCol w:w="1485"/>
      </w:tblGrid>
      <w:tr w:rsidR="00A539CB" w:rsidRPr="00232CB5" w14:paraId="6A48E87D" w14:textId="127A0BD8" w:rsidTr="00A539CB">
        <w:trPr>
          <w:trHeight w:val="428"/>
        </w:trPr>
        <w:tc>
          <w:tcPr>
            <w:tcW w:w="1570" w:type="pct"/>
          </w:tcPr>
          <w:p w14:paraId="5BEADC9C" w14:textId="77777777" w:rsidR="00A539CB" w:rsidRPr="00232CB5" w:rsidRDefault="00A539CB" w:rsidP="004056E8">
            <w:pPr>
              <w:pStyle w:val="ClientNormal"/>
              <w:spacing w:before="120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V tis. Kč</w:t>
            </w:r>
          </w:p>
        </w:tc>
        <w:tc>
          <w:tcPr>
            <w:tcW w:w="971" w:type="pct"/>
            <w:vAlign w:val="center"/>
          </w:tcPr>
          <w:p w14:paraId="5C1E3FC3" w14:textId="68615574" w:rsidR="00A539CB" w:rsidRPr="00232CB5" w:rsidRDefault="00A539CB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9 měsíců 2021</w:t>
            </w:r>
          </w:p>
        </w:tc>
        <w:tc>
          <w:tcPr>
            <w:tcW w:w="821" w:type="pct"/>
            <w:vAlign w:val="center"/>
          </w:tcPr>
          <w:p w14:paraId="0F80F5AF" w14:textId="7918290A" w:rsidR="00A539CB" w:rsidRPr="00232CB5" w:rsidRDefault="00A539CB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9 měsíců 2020</w:t>
            </w:r>
          </w:p>
        </w:tc>
        <w:tc>
          <w:tcPr>
            <w:tcW w:w="819" w:type="pct"/>
            <w:vAlign w:val="center"/>
          </w:tcPr>
          <w:p w14:paraId="615DE5E2" w14:textId="77777777" w:rsidR="00A539CB" w:rsidRPr="00232CB5" w:rsidRDefault="00A539CB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Změna v %</w:t>
            </w:r>
          </w:p>
        </w:tc>
        <w:tc>
          <w:tcPr>
            <w:tcW w:w="819" w:type="pct"/>
          </w:tcPr>
          <w:p w14:paraId="6F251B6F" w14:textId="461F2791" w:rsidR="00A539CB" w:rsidRPr="00232CB5" w:rsidRDefault="00A539CB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i/>
                <w:iCs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i/>
                <w:iCs/>
                <w:szCs w:val="20"/>
                <w:lang w:val="cs-CZ"/>
              </w:rPr>
              <w:t>Podíl na celkových výnosech 2021 v %</w:t>
            </w:r>
          </w:p>
        </w:tc>
      </w:tr>
      <w:tr w:rsidR="00A539CB" w:rsidRPr="00232CB5" w14:paraId="57B2B3F5" w14:textId="7D9A537A" w:rsidTr="000C556B">
        <w:trPr>
          <w:trHeight w:val="283"/>
        </w:trPr>
        <w:tc>
          <w:tcPr>
            <w:tcW w:w="1570" w:type="pct"/>
            <w:vAlign w:val="bottom"/>
          </w:tcPr>
          <w:p w14:paraId="6F095F63" w14:textId="0944C7A4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ČR</w:t>
            </w:r>
          </w:p>
        </w:tc>
        <w:tc>
          <w:tcPr>
            <w:tcW w:w="971" w:type="pct"/>
          </w:tcPr>
          <w:p w14:paraId="559D3ECB" w14:textId="28BF654E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522 398</w:t>
            </w:r>
          </w:p>
        </w:tc>
        <w:tc>
          <w:tcPr>
            <w:tcW w:w="821" w:type="pct"/>
          </w:tcPr>
          <w:p w14:paraId="0C7EC5E5" w14:textId="519E3661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219 056</w:t>
            </w:r>
          </w:p>
        </w:tc>
        <w:tc>
          <w:tcPr>
            <w:tcW w:w="819" w:type="pct"/>
            <w:vAlign w:val="center"/>
          </w:tcPr>
          <w:p w14:paraId="767A94FD" w14:textId="47CD543B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138,5</w:t>
            </w:r>
            <w:r w:rsidR="00232CB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24816DBA" w14:textId="2B252F0E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6,9</w:t>
            </w:r>
            <w:r w:rsid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1023AC14" w14:textId="145B3C89" w:rsidTr="000C556B">
        <w:trPr>
          <w:trHeight w:val="283"/>
        </w:trPr>
        <w:tc>
          <w:tcPr>
            <w:tcW w:w="1570" w:type="pct"/>
            <w:vAlign w:val="bottom"/>
          </w:tcPr>
          <w:p w14:paraId="7DAE9631" w14:textId="202597D8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USA</w:t>
            </w:r>
          </w:p>
        </w:tc>
        <w:tc>
          <w:tcPr>
            <w:tcW w:w="971" w:type="pct"/>
          </w:tcPr>
          <w:p w14:paraId="2DC4CDFD" w14:textId="3D99074C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4 497 731</w:t>
            </w:r>
          </w:p>
        </w:tc>
        <w:tc>
          <w:tcPr>
            <w:tcW w:w="821" w:type="pct"/>
          </w:tcPr>
          <w:p w14:paraId="721F23DF" w14:textId="32B9C334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3 470 749</w:t>
            </w:r>
          </w:p>
        </w:tc>
        <w:tc>
          <w:tcPr>
            <w:tcW w:w="819" w:type="pct"/>
            <w:vAlign w:val="center"/>
          </w:tcPr>
          <w:p w14:paraId="2FB00E5C" w14:textId="4C8AFAD6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29,6</w:t>
            </w:r>
            <w:r w:rsidR="00232CB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0B2DFD95" w14:textId="6B0D69DE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59,2</w:t>
            </w:r>
            <w:r w:rsid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3C693095" w14:textId="7E65FE3D" w:rsidTr="000C556B">
        <w:trPr>
          <w:trHeight w:val="283"/>
        </w:trPr>
        <w:tc>
          <w:tcPr>
            <w:tcW w:w="1570" w:type="pct"/>
            <w:vAlign w:val="bottom"/>
          </w:tcPr>
          <w:p w14:paraId="287ED916" w14:textId="412B7A97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Kanada</w:t>
            </w:r>
          </w:p>
        </w:tc>
        <w:tc>
          <w:tcPr>
            <w:tcW w:w="971" w:type="pct"/>
          </w:tcPr>
          <w:p w14:paraId="255AE5B4" w14:textId="1B827E81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329 560</w:t>
            </w:r>
          </w:p>
        </w:tc>
        <w:tc>
          <w:tcPr>
            <w:tcW w:w="821" w:type="pct"/>
          </w:tcPr>
          <w:p w14:paraId="2B2AF386" w14:textId="783BE1D1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77 769</w:t>
            </w:r>
          </w:p>
        </w:tc>
        <w:tc>
          <w:tcPr>
            <w:tcW w:w="819" w:type="pct"/>
            <w:vAlign w:val="center"/>
          </w:tcPr>
          <w:p w14:paraId="29CD19F2" w14:textId="0AC5B9EA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323,8</w:t>
            </w:r>
            <w:r w:rsidR="00232CB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29D76472" w14:textId="48792857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4,3</w:t>
            </w:r>
            <w:r w:rsid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32B7AC80" w14:textId="47352DAC" w:rsidTr="000C556B">
        <w:trPr>
          <w:trHeight w:val="283"/>
        </w:trPr>
        <w:tc>
          <w:tcPr>
            <w:tcW w:w="1570" w:type="pct"/>
            <w:vAlign w:val="bottom"/>
          </w:tcPr>
          <w:p w14:paraId="438D27C6" w14:textId="5595BC4C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Evropa (vyjma ČR)</w:t>
            </w:r>
          </w:p>
        </w:tc>
        <w:tc>
          <w:tcPr>
            <w:tcW w:w="971" w:type="pct"/>
          </w:tcPr>
          <w:p w14:paraId="193BACBA" w14:textId="2C530FA7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733 338</w:t>
            </w:r>
          </w:p>
        </w:tc>
        <w:tc>
          <w:tcPr>
            <w:tcW w:w="821" w:type="pct"/>
          </w:tcPr>
          <w:p w14:paraId="215E0E39" w14:textId="098C55E9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602 630</w:t>
            </w:r>
          </w:p>
        </w:tc>
        <w:tc>
          <w:tcPr>
            <w:tcW w:w="819" w:type="pct"/>
            <w:vAlign w:val="center"/>
          </w:tcPr>
          <w:p w14:paraId="30547275" w14:textId="5E79F523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21,7</w:t>
            </w:r>
            <w:r w:rsidR="00232CB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5E260B88" w14:textId="0D5672A7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9,6</w:t>
            </w:r>
            <w:r w:rsid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55A28F2E" w14:textId="74953765" w:rsidTr="000C556B">
        <w:trPr>
          <w:trHeight w:val="283"/>
        </w:trPr>
        <w:tc>
          <w:tcPr>
            <w:tcW w:w="1570" w:type="pct"/>
            <w:vAlign w:val="bottom"/>
          </w:tcPr>
          <w:p w14:paraId="4B61749B" w14:textId="7877BA41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Afrika</w:t>
            </w:r>
          </w:p>
        </w:tc>
        <w:tc>
          <w:tcPr>
            <w:tcW w:w="971" w:type="pct"/>
          </w:tcPr>
          <w:p w14:paraId="74C32A6F" w14:textId="67C86FC2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673 315</w:t>
            </w:r>
          </w:p>
        </w:tc>
        <w:tc>
          <w:tcPr>
            <w:tcW w:w="821" w:type="pct"/>
          </w:tcPr>
          <w:p w14:paraId="7E3FD324" w14:textId="0F745473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217 511</w:t>
            </w:r>
          </w:p>
        </w:tc>
        <w:tc>
          <w:tcPr>
            <w:tcW w:w="819" w:type="pct"/>
            <w:vAlign w:val="center"/>
          </w:tcPr>
          <w:p w14:paraId="7193FECA" w14:textId="07BE2339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209,6</w:t>
            </w:r>
            <w:r w:rsidR="00232CB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1B7B197A" w14:textId="7E513B22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8,9</w:t>
            </w:r>
            <w:r w:rsid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131AB9C1" w14:textId="5C8D137E" w:rsidTr="000C556B">
        <w:trPr>
          <w:trHeight w:val="283"/>
        </w:trPr>
        <w:tc>
          <w:tcPr>
            <w:tcW w:w="1570" w:type="pct"/>
            <w:vAlign w:val="bottom"/>
          </w:tcPr>
          <w:p w14:paraId="585BC508" w14:textId="1BCC55A5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Asie</w:t>
            </w:r>
          </w:p>
        </w:tc>
        <w:tc>
          <w:tcPr>
            <w:tcW w:w="971" w:type="pct"/>
          </w:tcPr>
          <w:p w14:paraId="53A29E45" w14:textId="7CD873A0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548 398</w:t>
            </w:r>
          </w:p>
        </w:tc>
        <w:tc>
          <w:tcPr>
            <w:tcW w:w="821" w:type="pct"/>
          </w:tcPr>
          <w:p w14:paraId="209E9928" w14:textId="16D8B5A4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306 174</w:t>
            </w:r>
          </w:p>
        </w:tc>
        <w:tc>
          <w:tcPr>
            <w:tcW w:w="819" w:type="pct"/>
            <w:vAlign w:val="center"/>
          </w:tcPr>
          <w:p w14:paraId="7F665012" w14:textId="2459FD94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79,1</w:t>
            </w:r>
            <w:r w:rsidR="00232CB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2B31AF21" w14:textId="5661BB09" w:rsidR="00A539CB" w:rsidRPr="00232CB5" w:rsidRDefault="00A539CB" w:rsidP="00A539CB">
            <w:pPr>
              <w:pStyle w:val="ClientNormal"/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7,2</w:t>
            </w:r>
            <w:r w:rsid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696DB9DE" w14:textId="2C183D1C" w:rsidTr="000C556B">
        <w:trPr>
          <w:trHeight w:val="283"/>
        </w:trPr>
        <w:tc>
          <w:tcPr>
            <w:tcW w:w="1570" w:type="pct"/>
            <w:vAlign w:val="bottom"/>
          </w:tcPr>
          <w:p w14:paraId="0354D44B" w14:textId="1A704779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sz w:val="22"/>
                <w:lang w:val="cs-CZ"/>
              </w:rPr>
              <w:t>Ostatní</w:t>
            </w:r>
          </w:p>
        </w:tc>
        <w:tc>
          <w:tcPr>
            <w:tcW w:w="971" w:type="pct"/>
          </w:tcPr>
          <w:p w14:paraId="6860F70B" w14:textId="12BD1971" w:rsidR="00A539CB" w:rsidRPr="00232CB5" w:rsidRDefault="00A539CB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297 258</w:t>
            </w:r>
          </w:p>
        </w:tc>
        <w:tc>
          <w:tcPr>
            <w:tcW w:w="821" w:type="pct"/>
          </w:tcPr>
          <w:p w14:paraId="6AF24ADF" w14:textId="7B85B4C0" w:rsidR="00A539CB" w:rsidRPr="00232CB5" w:rsidRDefault="00A539CB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70 323</w:t>
            </w:r>
          </w:p>
        </w:tc>
        <w:tc>
          <w:tcPr>
            <w:tcW w:w="819" w:type="pct"/>
            <w:vAlign w:val="center"/>
          </w:tcPr>
          <w:p w14:paraId="6C2F30BD" w14:textId="2B61CF43" w:rsidR="00A539CB" w:rsidRPr="00232CB5" w:rsidRDefault="00A539CB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322,7</w:t>
            </w:r>
            <w:r w:rsidR="00232CB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38ED36E3" w14:textId="0B299C66" w:rsidR="00A539CB" w:rsidRPr="00232CB5" w:rsidRDefault="00A539CB" w:rsidP="00A539CB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3,9</w:t>
            </w:r>
            <w:r w:rsid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tr w:rsidR="00A539CB" w:rsidRPr="00232CB5" w14:paraId="38FB2233" w14:textId="7F5F6286" w:rsidTr="000C556B">
        <w:trPr>
          <w:trHeight w:val="283"/>
        </w:trPr>
        <w:tc>
          <w:tcPr>
            <w:tcW w:w="1570" w:type="pct"/>
            <w:vAlign w:val="bottom"/>
          </w:tcPr>
          <w:p w14:paraId="3180798D" w14:textId="4353940E" w:rsidR="00A539CB" w:rsidRPr="00232CB5" w:rsidRDefault="00A539CB" w:rsidP="00A539CB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eastAsia="Calibri" w:hAnsi="Calibri"/>
                <w:b/>
                <w:bCs/>
                <w:sz w:val="22"/>
                <w:lang w:val="cs-CZ"/>
              </w:rPr>
            </w:pPr>
            <w:r w:rsidRPr="00232CB5">
              <w:rPr>
                <w:rFonts w:ascii="Calibri" w:eastAsia="Calibri" w:hAnsi="Calibri"/>
                <w:b/>
                <w:bCs/>
                <w:sz w:val="22"/>
                <w:lang w:val="cs-CZ"/>
              </w:rPr>
              <w:t>Celkem</w:t>
            </w:r>
          </w:p>
        </w:tc>
        <w:tc>
          <w:tcPr>
            <w:tcW w:w="971" w:type="pct"/>
          </w:tcPr>
          <w:p w14:paraId="28C3F263" w14:textId="53742C80" w:rsidR="00A539CB" w:rsidRPr="00232CB5" w:rsidRDefault="00A539CB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sz w:val="22"/>
                <w:lang w:val="cs-CZ"/>
              </w:rPr>
              <w:t>7 601 998</w:t>
            </w:r>
          </w:p>
        </w:tc>
        <w:tc>
          <w:tcPr>
            <w:tcW w:w="821" w:type="pct"/>
          </w:tcPr>
          <w:p w14:paraId="0036837B" w14:textId="2ADC02FE" w:rsidR="00A539CB" w:rsidRPr="00232CB5" w:rsidRDefault="00A539CB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sz w:val="22"/>
                <w:lang w:val="cs-CZ"/>
              </w:rPr>
              <w:t>4 964 212</w:t>
            </w:r>
          </w:p>
        </w:tc>
        <w:tc>
          <w:tcPr>
            <w:tcW w:w="819" w:type="pct"/>
            <w:vAlign w:val="center"/>
          </w:tcPr>
          <w:p w14:paraId="465EAC0C" w14:textId="62591587" w:rsidR="00A539CB" w:rsidRPr="00232CB5" w:rsidRDefault="00A539CB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53,1</w:t>
            </w:r>
            <w:r w:rsid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%</w:t>
            </w:r>
          </w:p>
        </w:tc>
        <w:tc>
          <w:tcPr>
            <w:tcW w:w="819" w:type="pct"/>
            <w:vAlign w:val="bottom"/>
          </w:tcPr>
          <w:p w14:paraId="0953BA80" w14:textId="0E9BD43B" w:rsidR="00A539CB" w:rsidRPr="00232CB5" w:rsidRDefault="00A539CB" w:rsidP="00A539CB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  <w:t>100,0</w:t>
            </w:r>
            <w:r w:rsidR="00232CB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lang w:val="cs-CZ"/>
              </w:rPr>
              <w:t>%</w:t>
            </w:r>
          </w:p>
        </w:tc>
      </w:tr>
      <w:bookmarkEnd w:id="0"/>
    </w:tbl>
    <w:p w14:paraId="5F3D4807" w14:textId="77777777" w:rsidR="004056E8" w:rsidRPr="00232CB5" w:rsidRDefault="004056E8" w:rsidP="004056E8">
      <w:pPr>
        <w:numPr>
          <w:ilvl w:val="0"/>
          <w:numId w:val="24"/>
        </w:numPr>
        <w:spacing w:before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D9B904" w14:textId="723E6889" w:rsidR="00FA49D3" w:rsidRPr="00232CB5" w:rsidRDefault="001F7060" w:rsidP="004056E8">
      <w:pPr>
        <w:numPr>
          <w:ilvl w:val="0"/>
          <w:numId w:val="24"/>
        </w:numPr>
        <w:spacing w:before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32CB5">
        <w:rPr>
          <w:rFonts w:ascii="Calibri" w:eastAsia="Calibri" w:hAnsi="Calibri"/>
          <w:sz w:val="22"/>
          <w:szCs w:val="22"/>
          <w:lang w:eastAsia="en-US"/>
        </w:rPr>
        <w:t>Tabulka rozdělení prodaných zbraní podle typu: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2103"/>
        <w:gridCol w:w="1781"/>
        <w:gridCol w:w="1781"/>
      </w:tblGrid>
      <w:tr w:rsidR="008879C5" w:rsidRPr="00232CB5" w14:paraId="4A8FF53E" w14:textId="77777777" w:rsidTr="004573CE">
        <w:trPr>
          <w:trHeight w:val="464"/>
        </w:trPr>
        <w:tc>
          <w:tcPr>
            <w:tcW w:w="1876" w:type="pct"/>
            <w:vAlign w:val="center"/>
          </w:tcPr>
          <w:p w14:paraId="291A5867" w14:textId="272D8184" w:rsidR="008879C5" w:rsidRPr="00232CB5" w:rsidRDefault="008879C5" w:rsidP="004056E8">
            <w:pPr>
              <w:pStyle w:val="ClientNormal"/>
              <w:spacing w:before="120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V</w:t>
            </w:r>
            <w:r w:rsidR="00E4249C">
              <w:rPr>
                <w:rFonts w:ascii="Calibri" w:eastAsia="Calibri" w:hAnsi="Calibri"/>
                <w:szCs w:val="20"/>
                <w:lang w:val="cs-CZ"/>
              </w:rPr>
              <w:t> </w:t>
            </w:r>
            <w:r w:rsidRPr="00232CB5">
              <w:rPr>
                <w:rFonts w:ascii="Calibri" w:eastAsia="Calibri" w:hAnsi="Calibri"/>
                <w:szCs w:val="20"/>
                <w:lang w:val="cs-CZ"/>
              </w:rPr>
              <w:t>ks</w:t>
            </w:r>
          </w:p>
        </w:tc>
        <w:tc>
          <w:tcPr>
            <w:tcW w:w="1160" w:type="pct"/>
            <w:vAlign w:val="center"/>
          </w:tcPr>
          <w:p w14:paraId="72BE36C4" w14:textId="17CE7CFF" w:rsidR="008879C5" w:rsidRPr="00232CB5" w:rsidRDefault="008879C5" w:rsidP="00CA178C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9 měsíců 2021</w:t>
            </w:r>
          </w:p>
        </w:tc>
        <w:tc>
          <w:tcPr>
            <w:tcW w:w="982" w:type="pct"/>
            <w:vAlign w:val="center"/>
          </w:tcPr>
          <w:p w14:paraId="0647E4C2" w14:textId="679E0685" w:rsidR="008879C5" w:rsidRPr="00232CB5" w:rsidRDefault="008879C5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9 měsíců 2020</w:t>
            </w:r>
          </w:p>
        </w:tc>
        <w:tc>
          <w:tcPr>
            <w:tcW w:w="982" w:type="pct"/>
            <w:vAlign w:val="center"/>
          </w:tcPr>
          <w:p w14:paraId="0F1F9B28" w14:textId="2C4201A1" w:rsidR="008879C5" w:rsidRPr="00232CB5" w:rsidRDefault="008879C5" w:rsidP="004056E8">
            <w:pPr>
              <w:pStyle w:val="ClientNormal"/>
              <w:spacing w:before="120"/>
              <w:jc w:val="right"/>
              <w:rPr>
                <w:rFonts w:ascii="Calibri" w:eastAsia="Calibri" w:hAnsi="Calibri"/>
                <w:szCs w:val="20"/>
                <w:lang w:val="cs-CZ"/>
              </w:rPr>
            </w:pPr>
            <w:r w:rsidRPr="00232CB5">
              <w:rPr>
                <w:rFonts w:ascii="Calibri" w:eastAsia="Calibri" w:hAnsi="Calibri"/>
                <w:szCs w:val="20"/>
                <w:lang w:val="cs-CZ"/>
              </w:rPr>
              <w:t>Změna v %</w:t>
            </w:r>
          </w:p>
        </w:tc>
      </w:tr>
      <w:tr w:rsidR="006E6294" w:rsidRPr="00232CB5" w14:paraId="191A5328" w14:textId="77777777" w:rsidTr="005A63BA">
        <w:trPr>
          <w:trHeight w:val="283"/>
        </w:trPr>
        <w:tc>
          <w:tcPr>
            <w:tcW w:w="1876" w:type="pct"/>
          </w:tcPr>
          <w:p w14:paraId="00E1A33F" w14:textId="7B454E2F" w:rsidR="006E6294" w:rsidRPr="00232CB5" w:rsidRDefault="006E6294" w:rsidP="006E6294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Dlouhé palné zbraně</w:t>
            </w:r>
          </w:p>
        </w:tc>
        <w:tc>
          <w:tcPr>
            <w:tcW w:w="1160" w:type="pct"/>
            <w:vAlign w:val="bottom"/>
          </w:tcPr>
          <w:p w14:paraId="6B406B2C" w14:textId="1A503A97" w:rsidR="006E6294" w:rsidRPr="00232CB5" w:rsidRDefault="006E6294" w:rsidP="006E6294">
            <w:pPr>
              <w:pStyle w:val="ClientNormal"/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185 229</w:t>
            </w:r>
          </w:p>
        </w:tc>
        <w:tc>
          <w:tcPr>
            <w:tcW w:w="982" w:type="pct"/>
            <w:vAlign w:val="bottom"/>
          </w:tcPr>
          <w:p w14:paraId="215C552C" w14:textId="12E46656" w:rsidR="006E6294" w:rsidRPr="00232CB5" w:rsidRDefault="006E6294" w:rsidP="006E6294">
            <w:pPr>
              <w:pStyle w:val="ClientNormal"/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121 860</w:t>
            </w:r>
          </w:p>
        </w:tc>
        <w:tc>
          <w:tcPr>
            <w:tcW w:w="982" w:type="pct"/>
            <w:vAlign w:val="center"/>
          </w:tcPr>
          <w:p w14:paraId="6E3C446F" w14:textId="1FFC2339" w:rsidR="006E6294" w:rsidRPr="00232CB5" w:rsidRDefault="006E6294" w:rsidP="006E6294">
            <w:pPr>
              <w:pStyle w:val="ClientNormal"/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52,0</w:t>
            </w:r>
            <w:r w:rsidR="00BD51C0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color w:val="000000"/>
                <w:sz w:val="22"/>
                <w:lang w:val="cs-CZ"/>
              </w:rPr>
              <w:t>%</w:t>
            </w:r>
          </w:p>
        </w:tc>
      </w:tr>
      <w:tr w:rsidR="006E6294" w:rsidRPr="00232CB5" w14:paraId="5C531FEF" w14:textId="77777777" w:rsidTr="004573CE">
        <w:trPr>
          <w:trHeight w:val="283"/>
        </w:trPr>
        <w:tc>
          <w:tcPr>
            <w:tcW w:w="1876" w:type="pct"/>
          </w:tcPr>
          <w:p w14:paraId="21F4F0B0" w14:textId="75ECC341" w:rsidR="006E6294" w:rsidRPr="00232CB5" w:rsidRDefault="006E6294" w:rsidP="006E6294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hAnsi="Calibri" w:cs="Calibri"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sz w:val="22"/>
                <w:lang w:val="cs-CZ"/>
              </w:rPr>
              <w:t>Krátké palné zbraně</w:t>
            </w:r>
          </w:p>
        </w:tc>
        <w:tc>
          <w:tcPr>
            <w:tcW w:w="1160" w:type="pct"/>
          </w:tcPr>
          <w:p w14:paraId="4CC24A88" w14:textId="7EF92B15" w:rsidR="006E6294" w:rsidRPr="00232CB5" w:rsidRDefault="006E6294" w:rsidP="006E6294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 w:rsidRPr="00232CB5">
              <w:rPr>
                <w:rFonts w:ascii="Calibri" w:eastAsia="Arial Unicode MS" w:hAnsi="Calibri" w:cs="Calibri"/>
                <w:color w:val="000000"/>
                <w:sz w:val="22"/>
                <w:bdr w:val="nil"/>
                <w:lang w:val="cs-CZ" w:eastAsia="cs-CZ"/>
              </w:rPr>
              <w:t>277 965</w:t>
            </w:r>
          </w:p>
        </w:tc>
        <w:tc>
          <w:tcPr>
            <w:tcW w:w="982" w:type="pct"/>
          </w:tcPr>
          <w:p w14:paraId="54B21EE5" w14:textId="37F6C2BC" w:rsidR="006E6294" w:rsidRPr="00232CB5" w:rsidRDefault="006E6294" w:rsidP="006E6294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 w:rsidRPr="00232CB5">
              <w:rPr>
                <w:rFonts w:ascii="Calibri" w:eastAsia="Arial Unicode MS" w:hAnsi="Calibri" w:cs="Calibri"/>
                <w:color w:val="000000"/>
                <w:sz w:val="22"/>
                <w:bdr w:val="nil"/>
                <w:lang w:val="cs-CZ" w:eastAsia="cs-CZ"/>
              </w:rPr>
              <w:t>215 629</w:t>
            </w:r>
          </w:p>
        </w:tc>
        <w:tc>
          <w:tcPr>
            <w:tcW w:w="982" w:type="pct"/>
          </w:tcPr>
          <w:p w14:paraId="505808B6" w14:textId="26DFFEB3" w:rsidR="006E6294" w:rsidRPr="00232CB5" w:rsidRDefault="006E6294" w:rsidP="006E6294">
            <w:pPr>
              <w:pStyle w:val="ClientNormal"/>
              <w:pBdr>
                <w:bottom w:val="sing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sz w:val="22"/>
                <w:szCs w:val="24"/>
                <w:lang w:val="cs-CZ"/>
              </w:rPr>
            </w:pPr>
            <w:r w:rsidRPr="00232CB5">
              <w:rPr>
                <w:rFonts w:ascii="Calibri" w:eastAsia="Arial Unicode MS" w:hAnsi="Calibri" w:cs="Calibri"/>
                <w:color w:val="000000"/>
                <w:sz w:val="22"/>
                <w:bdr w:val="nil"/>
                <w:lang w:val="cs-CZ" w:eastAsia="cs-CZ"/>
              </w:rPr>
              <w:t>28,9</w:t>
            </w:r>
            <w:r w:rsidR="00BD51C0">
              <w:rPr>
                <w:rFonts w:ascii="Calibri" w:eastAsia="Arial Unicode MS" w:hAnsi="Calibri" w:cs="Calibri"/>
                <w:color w:val="000000"/>
                <w:sz w:val="22"/>
                <w:bdr w:val="nil"/>
                <w:lang w:val="cs-CZ" w:eastAsia="cs-CZ"/>
              </w:rPr>
              <w:t xml:space="preserve"> </w:t>
            </w:r>
            <w:r w:rsidRPr="00232CB5">
              <w:rPr>
                <w:rFonts w:ascii="Calibri" w:eastAsia="Arial Unicode MS" w:hAnsi="Calibri" w:cs="Calibri"/>
                <w:color w:val="000000"/>
                <w:sz w:val="22"/>
                <w:bdr w:val="nil"/>
                <w:lang w:val="cs-CZ" w:eastAsia="cs-CZ"/>
              </w:rPr>
              <w:t>%</w:t>
            </w:r>
          </w:p>
        </w:tc>
      </w:tr>
      <w:tr w:rsidR="006E6294" w:rsidRPr="00232CB5" w14:paraId="5BB24AC5" w14:textId="77777777" w:rsidTr="00D919E0">
        <w:trPr>
          <w:trHeight w:val="283"/>
        </w:trPr>
        <w:tc>
          <w:tcPr>
            <w:tcW w:w="1876" w:type="pct"/>
          </w:tcPr>
          <w:p w14:paraId="7BFCEA4A" w14:textId="67B066B0" w:rsidR="006E6294" w:rsidRPr="00232CB5" w:rsidRDefault="006E6294" w:rsidP="006E6294">
            <w:pPr>
              <w:pStyle w:val="ClientNormal"/>
              <w:tabs>
                <w:tab w:val="left" w:leader="dot" w:pos="5264"/>
              </w:tabs>
              <w:spacing w:before="120" w:line="260" w:lineRule="atLeast"/>
              <w:rPr>
                <w:rFonts w:ascii="Calibri" w:hAnsi="Calibri" w:cs="Calibri"/>
                <w:b/>
                <w:bCs/>
                <w:sz w:val="22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sz w:val="22"/>
                <w:lang w:val="cs-CZ"/>
              </w:rPr>
              <w:t>Palné zbraně celkem</w:t>
            </w:r>
          </w:p>
        </w:tc>
        <w:tc>
          <w:tcPr>
            <w:tcW w:w="1160" w:type="pct"/>
            <w:vAlign w:val="center"/>
          </w:tcPr>
          <w:p w14:paraId="30B50A40" w14:textId="6E17032C" w:rsidR="006E6294" w:rsidRPr="00232CB5" w:rsidRDefault="006E6294" w:rsidP="006E6294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463 194</w:t>
            </w:r>
          </w:p>
        </w:tc>
        <w:tc>
          <w:tcPr>
            <w:tcW w:w="982" w:type="pct"/>
            <w:vAlign w:val="center"/>
          </w:tcPr>
          <w:p w14:paraId="2C570C59" w14:textId="03E18FA5" w:rsidR="006E6294" w:rsidRPr="00232CB5" w:rsidRDefault="006E6294" w:rsidP="006E6294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337 489</w:t>
            </w:r>
          </w:p>
        </w:tc>
        <w:tc>
          <w:tcPr>
            <w:tcW w:w="982" w:type="pct"/>
            <w:vAlign w:val="center"/>
          </w:tcPr>
          <w:p w14:paraId="228176AB" w14:textId="7A3AED52" w:rsidR="006E6294" w:rsidRPr="00232CB5" w:rsidRDefault="006E6294" w:rsidP="006E6294">
            <w:pPr>
              <w:pStyle w:val="ClientNormal"/>
              <w:pBdr>
                <w:bottom w:val="double" w:sz="4" w:space="1" w:color="auto"/>
              </w:pBdr>
              <w:spacing w:before="120"/>
              <w:jc w:val="right"/>
              <w:rPr>
                <w:rFonts w:ascii="Calibri" w:eastAsia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37,2</w:t>
            </w:r>
            <w:r w:rsidR="00BD51C0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 xml:space="preserve"> </w:t>
            </w:r>
            <w:r w:rsidRPr="00232CB5">
              <w:rPr>
                <w:rFonts w:ascii="Calibri" w:hAnsi="Calibri" w:cs="Calibri"/>
                <w:b/>
                <w:bCs/>
                <w:color w:val="000000"/>
                <w:sz w:val="22"/>
                <w:lang w:val="cs-CZ"/>
              </w:rPr>
              <w:t>%</w:t>
            </w:r>
          </w:p>
        </w:tc>
      </w:tr>
    </w:tbl>
    <w:p w14:paraId="73F154A5" w14:textId="26AA8885" w:rsidR="00A75543" w:rsidRPr="00232CB5" w:rsidRDefault="000D25CD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lastRenderedPageBreak/>
        <w:t>Provozní zisk a EBITDA</w:t>
      </w:r>
      <w:r w:rsidR="00A75543" w:rsidRPr="00232CB5">
        <w:rPr>
          <w:rStyle w:val="Znakapoznpodarou"/>
          <w:rFonts w:ascii="Calibri" w:eastAsiaTheme="minorHAnsi" w:hAnsi="Calibri" w:cs="Calibri"/>
          <w:b/>
          <w:bCs/>
          <w:sz w:val="22"/>
          <w:szCs w:val="22"/>
          <w:lang w:eastAsia="en-US"/>
        </w:rPr>
        <w:footnoteReference w:id="1"/>
      </w:r>
    </w:p>
    <w:p w14:paraId="248B290A" w14:textId="69B95C1B" w:rsidR="008879C5" w:rsidRPr="00232CB5" w:rsidRDefault="008879C5" w:rsidP="00CA4F40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Ukazatel EBITDA vzrostl za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prvních devět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měsíců </w:t>
      </w:r>
      <w:r w:rsidR="00E4249C">
        <w:rPr>
          <w:rFonts w:ascii="Calibri" w:eastAsiaTheme="minorHAnsi" w:hAnsi="Calibri" w:cs="Calibri"/>
          <w:sz w:val="22"/>
          <w:szCs w:val="22"/>
          <w:lang w:eastAsia="en-US"/>
        </w:rPr>
        <w:t>roku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2021 ve srovnání se stejným obdobím roku 2020 o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28,9</w:t>
      </w:r>
      <w:r w:rsidR="00CA4F40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%, na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1,4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ld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. Kč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a to zejména 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>vlivem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významného růstu globálních prodejů.</w:t>
      </w:r>
    </w:p>
    <w:p w14:paraId="75A14904" w14:textId="392CE735" w:rsidR="002F1246" w:rsidRPr="00232CB5" w:rsidRDefault="008879C5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Ukazatel normalizované EBITDA očištěný o mimořádné vlivy spojené s akvizicí </w:t>
      </w:r>
      <w:proofErr w:type="spellStart"/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Coltu</w:t>
      </w:r>
      <w:proofErr w:type="spellEnd"/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činil za první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ch devět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měsíců roku 2021 </w:t>
      </w:r>
      <w:r w:rsidR="006E6294" w:rsidRPr="00232CB5">
        <w:rPr>
          <w:rFonts w:ascii="Calibri" w:eastAsiaTheme="minorHAnsi" w:hAnsi="Calibri" w:cs="Calibri"/>
          <w:sz w:val="22"/>
          <w:szCs w:val="22"/>
          <w:lang w:eastAsia="en-US"/>
        </w:rPr>
        <w:t>1,6 mld.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Kč. Mezi tyto 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 xml:space="preserve">vlivy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patří především náklady na profesionální poradce a ostatní služby spojené s akvizicí </w:t>
      </w:r>
      <w:proofErr w:type="spellStart"/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Coltu</w:t>
      </w:r>
      <w:proofErr w:type="spellEnd"/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a odpis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zmařené investice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souvislosti s projektem v Arkansasu. </w:t>
      </w:r>
    </w:p>
    <w:p w14:paraId="4DD3D4EB" w14:textId="69074274" w:rsidR="00A860DC" w:rsidRPr="00232CB5" w:rsidRDefault="00A860DC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Provozní zisk </w:t>
      </w:r>
      <w:r w:rsidR="00EC1486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(EBIT)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dosáhl za prvních devět měsíců 2021 výše </w:t>
      </w:r>
      <w:r w:rsidR="00EC1486" w:rsidRPr="00232CB5">
        <w:rPr>
          <w:rFonts w:ascii="Calibri" w:eastAsiaTheme="minorHAnsi" w:hAnsi="Calibri" w:cs="Calibri"/>
          <w:sz w:val="22"/>
          <w:szCs w:val="22"/>
          <w:lang w:eastAsia="en-US"/>
        </w:rPr>
        <w:t>902,0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 Kč, což je o </w:t>
      </w:r>
      <w:r w:rsidR="00EC1486" w:rsidRPr="00232CB5">
        <w:rPr>
          <w:rFonts w:ascii="Calibri" w:eastAsiaTheme="minorHAnsi" w:hAnsi="Calibri" w:cs="Calibri"/>
          <w:sz w:val="22"/>
          <w:szCs w:val="22"/>
          <w:lang w:eastAsia="en-US"/>
        </w:rPr>
        <w:t>10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,6 % meziročně více, a to zejména díky nárůstu prodejů.</w:t>
      </w:r>
    </w:p>
    <w:p w14:paraId="051EF045" w14:textId="77777777" w:rsidR="00237AC2" w:rsidRDefault="00237AC2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304391D7" w14:textId="70D060D0" w:rsidR="00A75543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Zisk před zdaněním</w:t>
      </w:r>
    </w:p>
    <w:p w14:paraId="0078CE4D" w14:textId="42CD288F" w:rsidR="00130054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Zisk před zdaněním se </w:t>
      </w:r>
      <w:r w:rsidR="00591E20" w:rsidRPr="00232CB5">
        <w:rPr>
          <w:rFonts w:ascii="Calibri" w:eastAsia="Calibri" w:hAnsi="Calibri"/>
          <w:sz w:val="22"/>
          <w:szCs w:val="22"/>
          <w:lang w:eastAsia="en-US"/>
        </w:rPr>
        <w:t>za první tři čtvrtletí</w:t>
      </w:r>
      <w:r w:rsidR="00A860DC" w:rsidRPr="00232C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="Calibri" w:hAnsi="Calibri"/>
          <w:sz w:val="22"/>
          <w:szCs w:val="22"/>
          <w:lang w:eastAsia="en-US"/>
        </w:rPr>
        <w:t xml:space="preserve">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meziročně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zvýšil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o 81,7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%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a dosáhl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hodnoty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1,1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91E20" w:rsidRPr="00232CB5">
        <w:rPr>
          <w:rFonts w:ascii="Calibri" w:eastAsiaTheme="minorHAnsi" w:hAnsi="Calibri" w:cs="Calibri"/>
          <w:sz w:val="22"/>
          <w:szCs w:val="22"/>
          <w:lang w:eastAsia="en-US"/>
        </w:rPr>
        <w:t>mld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Kč. </w:t>
      </w:r>
      <w:r w:rsidR="00A546E9" w:rsidRPr="00232CB5">
        <w:rPr>
          <w:rFonts w:ascii="Calibri" w:eastAsiaTheme="minorHAnsi" w:hAnsi="Calibri" w:cs="Calibri"/>
          <w:sz w:val="22"/>
          <w:szCs w:val="22"/>
          <w:lang w:eastAsia="en-US"/>
        </w:rPr>
        <w:t>Tento růst souvisí s nárůstem provozní</w:t>
      </w:r>
      <w:r w:rsidR="00A860DC" w:rsidRPr="00232CB5">
        <w:rPr>
          <w:rFonts w:ascii="Calibri" w:eastAsiaTheme="minorHAnsi" w:hAnsi="Calibri" w:cs="Calibri"/>
          <w:sz w:val="22"/>
          <w:szCs w:val="22"/>
          <w:lang w:eastAsia="en-US"/>
        </w:rPr>
        <w:t>ho</w:t>
      </w:r>
      <w:r w:rsidR="00A546E9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zisku a kladným vlivem finančních operací. </w:t>
      </w:r>
    </w:p>
    <w:p w14:paraId="4B2EAFE4" w14:textId="77777777" w:rsidR="00237AC2" w:rsidRDefault="00237AC2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A69A263" w14:textId="0EF43F57" w:rsidR="00130054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Zisk </w:t>
      </w:r>
      <w:r w:rsidR="00243B74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za období po zdanění</w:t>
      </w:r>
    </w:p>
    <w:p w14:paraId="161F31AB" w14:textId="0C5E4986" w:rsidR="00C81784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Zisk </w:t>
      </w:r>
      <w:r w:rsidR="00243B74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za období po zdanění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se </w:t>
      </w:r>
      <w:r w:rsidR="00A546E9" w:rsidRPr="00232CB5">
        <w:rPr>
          <w:rFonts w:ascii="Calibri" w:eastAsia="Calibri" w:hAnsi="Calibri"/>
          <w:sz w:val="22"/>
          <w:szCs w:val="22"/>
          <w:lang w:eastAsia="en-US"/>
        </w:rPr>
        <w:t>za prvních devět měsíců</w:t>
      </w:r>
      <w:r w:rsidR="00DC61FD" w:rsidRPr="00232C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="Calibri" w:hAnsi="Calibri"/>
          <w:sz w:val="22"/>
          <w:szCs w:val="22"/>
          <w:lang w:eastAsia="en-US"/>
        </w:rPr>
        <w:t xml:space="preserve">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ve srovnání s</w:t>
      </w:r>
      <w:r w:rsidR="00A546E9" w:rsidRPr="00232CB5">
        <w:rPr>
          <w:rFonts w:ascii="Calibri" w:eastAsiaTheme="minorHAnsi" w:hAnsi="Calibri" w:cs="Calibri"/>
          <w:sz w:val="22"/>
          <w:szCs w:val="22"/>
          <w:lang w:eastAsia="en-US"/>
        </w:rPr>
        <w:t>e stejným obdobím</w:t>
      </w:r>
      <w:r w:rsidR="00DC61FD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roku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2020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F56D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zvýšil o 89,1 % </w:t>
      </w:r>
      <w:r w:rsidR="00630143" w:rsidRPr="00232CB5">
        <w:rPr>
          <w:rFonts w:ascii="Calibri" w:eastAsiaTheme="minorHAnsi" w:hAnsi="Calibri" w:cs="Calibri"/>
          <w:sz w:val="22"/>
          <w:szCs w:val="22"/>
          <w:lang w:eastAsia="en-US"/>
        </w:rPr>
        <w:t>a dosáhl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hodnot</w:t>
      </w:r>
      <w:r w:rsidR="00DD4EA2" w:rsidRPr="00232CB5">
        <w:rPr>
          <w:rFonts w:ascii="Calibri" w:eastAsiaTheme="minorHAnsi" w:hAnsi="Calibri" w:cs="Calibri"/>
          <w:sz w:val="22"/>
          <w:szCs w:val="22"/>
          <w:lang w:eastAsia="en-US"/>
        </w:rPr>
        <w:t>y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546E9" w:rsidRPr="00232CB5">
        <w:rPr>
          <w:rFonts w:ascii="Calibri" w:eastAsiaTheme="minorHAnsi" w:hAnsi="Calibri" w:cs="Calibri"/>
          <w:sz w:val="22"/>
          <w:szCs w:val="22"/>
          <w:lang w:eastAsia="en-US"/>
        </w:rPr>
        <w:t>902,8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 Kč</w:t>
      </w:r>
      <w:r w:rsidR="00A546E9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14:paraId="0654054C" w14:textId="77777777" w:rsidR="00237AC2" w:rsidRDefault="00237AC2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4CB0F353" w14:textId="591E9C03" w:rsidR="00D73607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Investice</w:t>
      </w:r>
    </w:p>
    <w:p w14:paraId="5941AB98" w14:textId="741CEC67" w:rsidR="00A33D93" w:rsidRPr="00232CB5" w:rsidRDefault="00130054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Kapitálové výdaje Skupiny </w:t>
      </w:r>
      <w:r w:rsidR="00A56FC2" w:rsidRPr="00232CB5">
        <w:rPr>
          <w:rFonts w:ascii="Calibri" w:eastAsia="Calibri" w:hAnsi="Calibri"/>
          <w:sz w:val="22"/>
          <w:szCs w:val="22"/>
          <w:lang w:eastAsia="en-US"/>
        </w:rPr>
        <w:t>za prvních devět měsíců roku</w:t>
      </w:r>
      <w:r w:rsidR="00DC61FD" w:rsidRPr="00232C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30143" w:rsidRPr="00232CB5">
        <w:rPr>
          <w:rFonts w:ascii="Calibri" w:eastAsia="Calibri" w:hAnsi="Calibri"/>
          <w:sz w:val="22"/>
          <w:szCs w:val="22"/>
          <w:lang w:eastAsia="en-US"/>
        </w:rPr>
        <w:t xml:space="preserve">2021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dosáhly hodnoty 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>393,4</w:t>
      </w:r>
      <w:r w:rsidR="00A860DC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mil.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Kč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 xml:space="preserve">tedy 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meziročně o </w:t>
      </w:r>
      <w:r w:rsidR="00B022B6" w:rsidRPr="00232CB5">
        <w:rPr>
          <w:rFonts w:ascii="Calibri" w:eastAsiaTheme="minorHAnsi" w:hAnsi="Calibri" w:cs="Calibri"/>
          <w:sz w:val="22"/>
          <w:szCs w:val="22"/>
          <w:lang w:eastAsia="en-US"/>
        </w:rPr>
        <w:t>83,9 %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více,</w:t>
      </w:r>
      <w:r w:rsidR="0009411E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a představovaly tak</w:t>
      </w:r>
      <w:r w:rsidR="00D7360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66E91" w:rsidRPr="00232CB5">
        <w:rPr>
          <w:rFonts w:ascii="Calibri" w:eastAsiaTheme="minorHAnsi" w:hAnsi="Calibri" w:cs="Calibri"/>
          <w:sz w:val="22"/>
          <w:szCs w:val="22"/>
          <w:lang w:eastAsia="en-US"/>
        </w:rPr>
        <w:t>5,2</w:t>
      </w:r>
      <w:r w:rsidR="00D7360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%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podíl z celkových výnosů </w:t>
      </w:r>
      <w:r w:rsidR="00A56FC2" w:rsidRPr="00232CB5">
        <w:rPr>
          <w:rFonts w:ascii="Calibri" w:eastAsiaTheme="minorHAnsi" w:hAnsi="Calibri" w:cs="Calibri"/>
          <w:sz w:val="22"/>
          <w:szCs w:val="22"/>
          <w:lang w:eastAsia="en-US"/>
        </w:rPr>
        <w:t>za toto období</w:t>
      </w:r>
      <w:r w:rsidR="00A33D93" w:rsidRPr="00232CB5">
        <w:rPr>
          <w:rFonts w:ascii="Calibri" w:eastAsiaTheme="minorHAnsi" w:hAnsi="Calibri" w:cs="Calibri"/>
          <w:sz w:val="22"/>
          <w:szCs w:val="22"/>
          <w:lang w:eastAsia="en-US"/>
        </w:rPr>
        <w:t>, což je v souladu s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> dříve publik</w:t>
      </w:r>
      <w:r w:rsidR="00CF56D7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ovaným </w:t>
      </w:r>
      <w:r w:rsidR="00A33D93" w:rsidRPr="00232CB5">
        <w:rPr>
          <w:rFonts w:ascii="Calibri" w:eastAsiaTheme="minorHAnsi" w:hAnsi="Calibri" w:cs="Calibri"/>
          <w:sz w:val="22"/>
          <w:szCs w:val="22"/>
          <w:lang w:eastAsia="en-US"/>
        </w:rPr>
        <w:t>výhledem na rok 2021 (5</w:t>
      </w:r>
      <w:r w:rsidR="00360460" w:rsidRPr="00232CB5">
        <w:rPr>
          <w:rFonts w:ascii="Calibri" w:eastAsiaTheme="minorHAnsi" w:hAnsi="Calibri" w:cs="Calibri"/>
          <w:sz w:val="22"/>
          <w:szCs w:val="22"/>
          <w:lang w:eastAsia="en-US"/>
        </w:rPr>
        <w:t>–</w:t>
      </w:r>
      <w:r w:rsidR="00A33D93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7 % z celkových výnosů v roce 2021). </w:t>
      </w:r>
      <w:r w:rsidR="00E7167E" w:rsidRPr="00232CB5">
        <w:rPr>
          <w:rFonts w:ascii="Calibri" w:eastAsiaTheme="minorHAnsi" w:hAnsi="Calibri" w:cs="Calibri"/>
          <w:sz w:val="22"/>
          <w:szCs w:val="22"/>
          <w:lang w:eastAsia="en-US"/>
        </w:rPr>
        <w:t>Kapitálové výdaje byly vynaloženy primárně na modernizaci výrobní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>c</w:t>
      </w:r>
      <w:r w:rsidR="00E7167E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h zařízení a </w:t>
      </w:r>
      <w:r w:rsidR="006C4FF6" w:rsidRPr="00232CB5">
        <w:rPr>
          <w:rFonts w:ascii="Calibri" w:eastAsiaTheme="minorHAnsi" w:hAnsi="Calibri" w:cs="Calibri"/>
          <w:sz w:val="22"/>
          <w:szCs w:val="22"/>
          <w:lang w:eastAsia="en-US"/>
        </w:rPr>
        <w:t>kapacit</w:t>
      </w:r>
      <w:r w:rsidR="00E7167E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Skupiny.</w:t>
      </w:r>
      <w:r w:rsidR="00A33D93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F7EF5B3" w14:textId="77777777" w:rsidR="00237AC2" w:rsidRDefault="00237AC2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4F1AB15F" w14:textId="605BDECB" w:rsidR="005350C4" w:rsidRPr="00232CB5" w:rsidRDefault="00D73C00" w:rsidP="004056E8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Aktualizace </w:t>
      </w:r>
      <w:r w:rsidR="00A33D93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výhledu </w:t>
      </w:r>
      <w:r w:rsidR="004056E8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 konce roku</w:t>
      </w:r>
      <w:r w:rsidR="00A33D93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B37ADE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2021</w:t>
      </w:r>
    </w:p>
    <w:p w14:paraId="5ABEBCB1" w14:textId="65C351C2" w:rsidR="00F52064" w:rsidRPr="00232CB5" w:rsidRDefault="00A56FC2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4FB0">
        <w:rPr>
          <w:rFonts w:ascii="Calibri" w:eastAsiaTheme="minorHAnsi" w:hAnsi="Calibri" w:cs="Calibri"/>
          <w:sz w:val="22"/>
          <w:szCs w:val="22"/>
          <w:lang w:eastAsia="en-US"/>
        </w:rPr>
        <w:t>Vzhledem k příznivému vývoji hospodaření CZG a k příznivému vývoji výsledků skupiny Colt k datu této zprávy</w:t>
      </w:r>
      <w:r w:rsidRPr="00EF4FB0" w:rsidDel="00A56FC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707AA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vedení </w:t>
      </w:r>
      <w:r w:rsidR="00EF4FB0" w:rsidRPr="00EF4FB0">
        <w:rPr>
          <w:rFonts w:ascii="Calibri" w:eastAsiaTheme="minorHAnsi" w:hAnsi="Calibri" w:cs="Calibri"/>
          <w:sz w:val="22"/>
          <w:szCs w:val="22"/>
          <w:lang w:eastAsia="en-US"/>
        </w:rPr>
        <w:t>Společnosti očekává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, že celkové výnosy </w:t>
      </w:r>
      <w:r w:rsidR="004707AA" w:rsidRPr="00EF4FB0">
        <w:rPr>
          <w:rFonts w:ascii="Calibri" w:eastAsiaTheme="minorHAnsi" w:hAnsi="Calibri" w:cs="Calibri"/>
          <w:sz w:val="22"/>
          <w:szCs w:val="22"/>
          <w:lang w:eastAsia="en-US"/>
        </w:rPr>
        <w:t>skupiny CZG</w:t>
      </w:r>
      <w:r w:rsidR="00016A49" w:rsidRPr="00EF4FB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4707AA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včetně přínosů skupiny Colt od data převzetí (21. května 2021)</w:t>
      </w:r>
      <w:r w:rsidR="00016A49" w:rsidRPr="00EF4FB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4707AA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20EC1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se budou blížit </w:t>
      </w:r>
      <w:r w:rsidR="00E34DB1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horní hranici komunikovaného výhledu ve výši </w:t>
      </w:r>
      <w:r w:rsidR="006360E8" w:rsidRPr="00EF4FB0">
        <w:rPr>
          <w:rFonts w:ascii="Calibri" w:eastAsiaTheme="minorHAnsi" w:hAnsi="Calibri" w:cs="Calibri"/>
          <w:sz w:val="22"/>
          <w:szCs w:val="22"/>
          <w:lang w:eastAsia="en-US"/>
        </w:rPr>
        <w:t>10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D73C00" w:rsidRPr="00EF4FB0">
        <w:rPr>
          <w:rFonts w:ascii="Calibri" w:eastAsiaTheme="minorHAnsi" w:hAnsi="Calibri" w:cs="Calibri"/>
          <w:sz w:val="22"/>
          <w:szCs w:val="22"/>
          <w:lang w:eastAsia="en-US"/>
        </w:rPr>
        <w:t>34</w:t>
      </w:r>
      <w:r w:rsidR="00360460" w:rsidRPr="00EF4FB0">
        <w:rPr>
          <w:rFonts w:ascii="Calibri" w:eastAsiaTheme="minorHAnsi" w:hAnsi="Calibri" w:cs="Calibri"/>
          <w:sz w:val="22"/>
          <w:szCs w:val="22"/>
          <w:lang w:eastAsia="en-US"/>
        </w:rPr>
        <w:t>–</w:t>
      </w:r>
      <w:r w:rsidR="006360E8" w:rsidRPr="00EF4FB0">
        <w:rPr>
          <w:rFonts w:ascii="Calibri" w:eastAsiaTheme="minorHAnsi" w:hAnsi="Calibri" w:cs="Calibri"/>
          <w:sz w:val="22"/>
          <w:szCs w:val="22"/>
          <w:lang w:eastAsia="en-US"/>
        </w:rPr>
        <w:t>10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D73C00" w:rsidRPr="00EF4FB0">
        <w:rPr>
          <w:rFonts w:ascii="Calibri" w:eastAsiaTheme="minorHAnsi" w:hAnsi="Calibri" w:cs="Calibri"/>
          <w:sz w:val="22"/>
          <w:szCs w:val="22"/>
          <w:lang w:eastAsia="en-US"/>
        </w:rPr>
        <w:t>64</w:t>
      </w:r>
      <w:r w:rsidR="006360E8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6A49" w:rsidRPr="00EF4FB0">
        <w:rPr>
          <w:rFonts w:ascii="Calibri" w:eastAsiaTheme="minorHAnsi" w:hAnsi="Calibri" w:cs="Calibri"/>
          <w:sz w:val="22"/>
          <w:szCs w:val="22"/>
          <w:lang w:eastAsia="en-US"/>
        </w:rPr>
        <w:t>mld.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Kč</w:t>
      </w:r>
      <w:r w:rsidR="00424319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69186B" w:rsidRPr="00EF4FB0">
        <w:rPr>
          <w:rFonts w:ascii="Calibri" w:eastAsiaTheme="minorHAnsi" w:hAnsi="Calibri" w:cs="Calibri"/>
          <w:sz w:val="22"/>
          <w:szCs w:val="22"/>
          <w:lang w:eastAsia="en-US"/>
        </w:rPr>
        <w:t>Stejně tak o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čekávaná výše ukazatele </w:t>
      </w:r>
      <w:r w:rsidR="00424319" w:rsidRPr="00EF4FB0">
        <w:rPr>
          <w:rFonts w:ascii="Calibri" w:eastAsiaTheme="minorHAnsi" w:hAnsi="Calibri" w:cs="Calibri"/>
          <w:sz w:val="22"/>
          <w:szCs w:val="22"/>
          <w:lang w:eastAsia="en-US"/>
        </w:rPr>
        <w:t>EBITDA</w:t>
      </w:r>
      <w:r w:rsidR="00A33D93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by </w:t>
      </w:r>
      <w:r w:rsidR="00B30C4D" w:rsidRPr="00EF4FB0">
        <w:rPr>
          <w:rFonts w:ascii="Calibri" w:eastAsiaTheme="minorHAnsi" w:hAnsi="Calibri" w:cs="Calibri"/>
          <w:sz w:val="22"/>
          <w:szCs w:val="22"/>
          <w:lang w:eastAsia="en-US"/>
        </w:rPr>
        <w:t>se měla blížit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9186B" w:rsidRPr="00EF4FB0">
        <w:rPr>
          <w:rFonts w:ascii="Calibri" w:eastAsiaTheme="minorHAnsi" w:hAnsi="Calibri" w:cs="Calibri"/>
          <w:sz w:val="22"/>
          <w:szCs w:val="22"/>
          <w:lang w:eastAsia="en-US"/>
        </w:rPr>
        <w:t>horní hranic</w:t>
      </w:r>
      <w:r w:rsidR="00B30C4D" w:rsidRPr="00EF4FB0"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="0069186B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komunikovaného pásma </w:t>
      </w:r>
      <w:r w:rsidR="00D73C00" w:rsidRPr="00EF4FB0">
        <w:rPr>
          <w:rFonts w:ascii="Calibri" w:eastAsiaTheme="minorHAnsi" w:hAnsi="Calibri" w:cs="Calibri"/>
          <w:sz w:val="22"/>
          <w:szCs w:val="22"/>
          <w:lang w:eastAsia="en-US"/>
        </w:rPr>
        <w:t>1,99</w:t>
      </w:r>
      <w:r w:rsidR="00360460" w:rsidRPr="00EF4FB0">
        <w:rPr>
          <w:rFonts w:ascii="Calibri" w:eastAsiaTheme="minorHAnsi" w:hAnsi="Calibri" w:cs="Calibri"/>
          <w:sz w:val="22"/>
          <w:szCs w:val="22"/>
          <w:lang w:eastAsia="en-US"/>
        </w:rPr>
        <w:t>–</w:t>
      </w:r>
      <w:r w:rsidR="006360E8" w:rsidRPr="00EF4FB0"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D73C00" w:rsidRPr="00EF4FB0">
        <w:rPr>
          <w:rFonts w:ascii="Calibri" w:eastAsiaTheme="minorHAnsi" w:hAnsi="Calibri" w:cs="Calibri"/>
          <w:sz w:val="22"/>
          <w:szCs w:val="22"/>
          <w:lang w:eastAsia="en-US"/>
        </w:rPr>
        <w:t>19</w:t>
      </w:r>
      <w:r w:rsidR="006360E8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7167E" w:rsidRPr="00EF4FB0">
        <w:rPr>
          <w:rFonts w:ascii="Calibri" w:eastAsiaTheme="minorHAnsi" w:hAnsi="Calibri" w:cs="Calibri"/>
          <w:sz w:val="22"/>
          <w:szCs w:val="22"/>
          <w:lang w:eastAsia="en-US"/>
        </w:rPr>
        <w:t>miliardy Kč</w:t>
      </w:r>
      <w:r w:rsidR="00016A49" w:rsidRPr="00EF4FB0">
        <w:rPr>
          <w:rFonts w:ascii="Calibri" w:eastAsiaTheme="minorHAnsi" w:hAnsi="Calibri" w:cs="Calibri"/>
          <w:sz w:val="22"/>
          <w:szCs w:val="22"/>
          <w:lang w:eastAsia="en-US"/>
        </w:rPr>
        <w:t xml:space="preserve"> v roce 2021</w:t>
      </w:r>
      <w:r w:rsidR="00424319" w:rsidRPr="00EF4FB0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424319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B7715D9" w14:textId="2FF82F37" w:rsidR="008879C5" w:rsidRPr="00232CB5" w:rsidRDefault="008879C5" w:rsidP="00CA4F40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Hlavní výzvou Společnosti </w:t>
      </w:r>
      <w:r w:rsidR="00A56FC2" w:rsidRPr="00232CB5">
        <w:rPr>
          <w:rFonts w:ascii="Calibri" w:eastAsiaTheme="minorHAnsi" w:hAnsi="Calibri" w:cs="Calibri"/>
          <w:sz w:val="22"/>
          <w:szCs w:val="22"/>
          <w:lang w:eastAsia="en-US"/>
        </w:rPr>
        <w:t>zůstává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i nadále její schopnost 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 xml:space="preserve">uspokojit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celosvětově silnou poptávku jak z</w:t>
      </w:r>
      <w:r w:rsidR="00BD51C0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hlediska vlastních výrobních kapacit, tak z hlediska kapacit dodavatelského řetězce. To je ovlivněno řadou faktorů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včetně přetrvávající napjaté situace kolem 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 xml:space="preserve">pandemie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covid-19. </w:t>
      </w:r>
    </w:p>
    <w:p w14:paraId="41D93DD7" w14:textId="77777777" w:rsidR="00EC1486" w:rsidRPr="00232CB5" w:rsidRDefault="00EC1486" w:rsidP="00CA4F40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FACEBC8" w14:textId="074D76F5" w:rsidR="005037E1" w:rsidRPr="00232CB5" w:rsidRDefault="005037E1" w:rsidP="00CA4F40">
      <w:pPr>
        <w:spacing w:before="12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lastRenderedPageBreak/>
        <w:t xml:space="preserve">Ostatní klíčové informace týkající se </w:t>
      </w:r>
      <w:r w:rsidR="00CA4F40" w:rsidRPr="00232CB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Společnosti do doby zveřejnění této zprávy</w:t>
      </w:r>
    </w:p>
    <w:p w14:paraId="7F64AA24" w14:textId="43889FAB" w:rsidR="004056E8" w:rsidRPr="00232CB5" w:rsidRDefault="00C72A0A" w:rsidP="004056E8">
      <w:pPr>
        <w:spacing w:before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Dozorčí rada Společnosti jmenovala 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novým členem představenstva CZG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pana 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>Josefa Adama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, který byl následně zvolen místopředsedou představenstva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Ve své nové roli Josef </w:t>
      </w:r>
      <w:r w:rsidR="00016A49">
        <w:rPr>
          <w:rFonts w:ascii="Calibri" w:eastAsiaTheme="minorHAnsi" w:hAnsi="Calibri" w:cs="Calibri"/>
          <w:sz w:val="22"/>
          <w:szCs w:val="22"/>
          <w:lang w:eastAsia="en-US"/>
        </w:rPr>
        <w:t xml:space="preserve">Adam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zaujal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pozici tajemníka Společnosti (</w:t>
      </w:r>
      <w:proofErr w:type="spellStart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>Corporate</w:t>
      </w:r>
      <w:proofErr w:type="spellEnd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>Secretary</w:t>
      </w:r>
      <w:proofErr w:type="spellEnd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) namísto Jany Růžičkové, která ze své pozice v představenstvu odstoupila a zároveň byla kooptována do dozorčí rady CZG. V dozorčí radě Jana Růžičková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nahradila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>Věslavu</w:t>
      </w:r>
      <w:proofErr w:type="spellEnd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>Piegzovou</w:t>
      </w:r>
      <w:proofErr w:type="spellEnd"/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, která ze své pozice odstoupila. Změny </w:t>
      </w:r>
      <w:r w:rsidR="00CF56D7">
        <w:rPr>
          <w:rFonts w:ascii="Calibri" w:eastAsiaTheme="minorHAnsi" w:hAnsi="Calibri" w:cs="Calibri"/>
          <w:sz w:val="22"/>
          <w:szCs w:val="22"/>
          <w:lang w:eastAsia="en-US"/>
        </w:rPr>
        <w:t>jsou</w:t>
      </w:r>
      <w:r w:rsidR="004056E8"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 účinné od 1. listopadu 2021. Kooptace Jany Růžičkové do dozorčí rady bude předložena ke schválení příští valné hromadě Společnosti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14:paraId="42EC061F" w14:textId="2ED78B33" w:rsidR="00C72A0A" w:rsidRPr="00232CB5" w:rsidRDefault="00C72A0A" w:rsidP="00C72A0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32CB5">
        <w:rPr>
          <w:rFonts w:ascii="Calibri" w:hAnsi="Calibri" w:cs="Calibri"/>
          <w:sz w:val="22"/>
          <w:szCs w:val="22"/>
        </w:rPr>
        <w:t xml:space="preserve">Dne 9. září 2021 se </w:t>
      </w:r>
      <w:r w:rsidR="00016A49" w:rsidRPr="00232CB5">
        <w:rPr>
          <w:rFonts w:ascii="Calibri" w:hAnsi="Calibri" w:cs="Calibri"/>
          <w:sz w:val="22"/>
          <w:szCs w:val="22"/>
        </w:rPr>
        <w:t xml:space="preserve">snížil </w:t>
      </w:r>
      <w:r w:rsidRPr="00232CB5">
        <w:rPr>
          <w:rFonts w:ascii="Calibri" w:hAnsi="Calibri" w:cs="Calibri"/>
          <w:sz w:val="22"/>
          <w:szCs w:val="22"/>
        </w:rPr>
        <w:t xml:space="preserve">podíl </w:t>
      </w:r>
      <w:r w:rsidR="00BC7BE7" w:rsidRPr="00232CB5">
        <w:rPr>
          <w:rFonts w:ascii="Calibri" w:hAnsi="Calibri" w:cs="Calibri"/>
          <w:sz w:val="22"/>
          <w:szCs w:val="22"/>
        </w:rPr>
        <w:t xml:space="preserve">majoritního akcionáře </w:t>
      </w:r>
      <w:r w:rsidRPr="00232CB5">
        <w:rPr>
          <w:rFonts w:ascii="Calibri" w:hAnsi="Calibri" w:cs="Calibri"/>
          <w:sz w:val="22"/>
          <w:szCs w:val="22"/>
        </w:rPr>
        <w:t xml:space="preserve">České zbrojovky </w:t>
      </w:r>
      <w:proofErr w:type="spellStart"/>
      <w:r w:rsidRPr="00232CB5">
        <w:rPr>
          <w:rFonts w:ascii="Calibri" w:hAnsi="Calibri" w:cs="Calibri"/>
          <w:sz w:val="22"/>
          <w:szCs w:val="22"/>
        </w:rPr>
        <w:t>Partners</w:t>
      </w:r>
      <w:proofErr w:type="spellEnd"/>
      <w:r w:rsidRPr="00232CB5">
        <w:rPr>
          <w:rFonts w:ascii="Calibri" w:hAnsi="Calibri" w:cs="Calibri"/>
          <w:sz w:val="22"/>
          <w:szCs w:val="22"/>
        </w:rPr>
        <w:t xml:space="preserve"> SE na základním kapitálu a hlasovacích právech CZG na 81,2 %, a to prodejem akcií CZG dvěma členům vedení CZG. Dokončením těchto transakcí došlo ke zvýšení </w:t>
      </w:r>
      <w:r w:rsidR="00CF56D7">
        <w:rPr>
          <w:rFonts w:ascii="Calibri" w:hAnsi="Calibri" w:cs="Calibri"/>
          <w:sz w:val="22"/>
          <w:szCs w:val="22"/>
        </w:rPr>
        <w:t xml:space="preserve">podílu </w:t>
      </w:r>
      <w:r w:rsidRPr="00232CB5">
        <w:rPr>
          <w:rFonts w:ascii="Calibri" w:hAnsi="Calibri" w:cs="Calibri"/>
          <w:sz w:val="22"/>
          <w:szCs w:val="22"/>
        </w:rPr>
        <w:t xml:space="preserve">volně obchodovaných akcií Společnosti (free </w:t>
      </w:r>
      <w:proofErr w:type="spellStart"/>
      <w:r w:rsidRPr="00232CB5">
        <w:rPr>
          <w:rFonts w:ascii="Calibri" w:hAnsi="Calibri" w:cs="Calibri"/>
          <w:sz w:val="22"/>
          <w:szCs w:val="22"/>
        </w:rPr>
        <w:t>float</w:t>
      </w:r>
      <w:proofErr w:type="spellEnd"/>
      <w:r w:rsidRPr="00232CB5">
        <w:rPr>
          <w:rFonts w:ascii="Calibri" w:hAnsi="Calibri" w:cs="Calibri"/>
          <w:sz w:val="22"/>
          <w:szCs w:val="22"/>
        </w:rPr>
        <w:t xml:space="preserve">) </w:t>
      </w:r>
      <w:r w:rsidRPr="00232CB5">
        <w:rPr>
          <w:rFonts w:ascii="Calibri" w:eastAsiaTheme="minorHAnsi" w:hAnsi="Calibri" w:cs="Calibri"/>
          <w:sz w:val="22"/>
          <w:szCs w:val="22"/>
          <w:lang w:eastAsia="en-US"/>
        </w:rPr>
        <w:t>na</w:t>
      </w:r>
      <w:r w:rsidR="00BD51C0">
        <w:rPr>
          <w:rFonts w:ascii="Calibri" w:hAnsi="Calibri" w:cs="Calibri"/>
          <w:sz w:val="22"/>
          <w:szCs w:val="22"/>
        </w:rPr>
        <w:t> </w:t>
      </w:r>
      <w:r w:rsidRPr="00232CB5">
        <w:rPr>
          <w:rFonts w:ascii="Calibri" w:hAnsi="Calibri" w:cs="Calibri"/>
          <w:sz w:val="22"/>
          <w:szCs w:val="22"/>
        </w:rPr>
        <w:t>18,8 %.</w:t>
      </w:r>
    </w:p>
    <w:p w14:paraId="4FEAB825" w14:textId="3139ED04" w:rsidR="00BC7BE7" w:rsidRPr="00232CB5" w:rsidRDefault="00BC7BE7" w:rsidP="00BC7BE7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Dne 16. listopadu oznámila Společnost, že její vedení bylo informováno, že někteří z akcionářů, </w:t>
      </w:r>
      <w:r w:rsidR="00A860DC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jež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860DC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nabyli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akcie vypořádání</w:t>
      </w:r>
      <w:r w:rsidR="00016A4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akvizice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Coltu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prodali</w:t>
      </w:r>
      <w:r w:rsidR="00CA4F40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vybraným investorům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770 057 kusů akcií</w:t>
      </w:r>
      <w:r w:rsidR="004D4FB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představují</w:t>
      </w:r>
      <w:r w:rsidR="00A860DC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cí</w:t>
      </w:r>
      <w:r w:rsidR="00CF56D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ch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ne více než 2,3% podíl na základním kapitálu a hlasovacích právech Společnosti. Prodej byl realizován </w:t>
      </w:r>
      <w:r w:rsidR="00CA4F40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tzv. zrychleným úpisem akcií (</w:t>
      </w:r>
      <w:proofErr w:type="spellStart"/>
      <w:r w:rsidR="00CA4F40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accelerated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book-building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process</w:t>
      </w:r>
      <w:proofErr w:type="spellEnd"/>
      <w:r w:rsidR="00CA4F40"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) a cena akcie byla stanovena na 476 Kč.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1FC2CD8" w14:textId="38E42D89" w:rsidR="00424319" w:rsidRPr="00232CB5" w:rsidRDefault="00424319" w:rsidP="00BC7BE7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045F0157" w14:textId="1B0CEA0F" w:rsidR="00E7167E" w:rsidRPr="00232CB5" w:rsidRDefault="00E7167E" w:rsidP="004056E8">
      <w:pPr>
        <w:keepNext/>
        <w:spacing w:before="120"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232CB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O společnosti CZG – Česká zbrojovka Group SE</w:t>
      </w:r>
    </w:p>
    <w:p w14:paraId="4EA0B938" w14:textId="77777777" w:rsidR="00945822" w:rsidRPr="00232CB5" w:rsidRDefault="00945822" w:rsidP="00945822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CZG – Česká zbrojovka Group je společně se svými dceřinými společnostmi jedním z předních výrobců ručních palných zbraní pro ozbrojené složky, osobní obranu, lov, sportovní střelbu a další civilní využití. Součástí skupiny CZG jsou společnosti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Colt’s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Manufacturing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Company, Česká zbrojovka, Colt Canada </w:t>
      </w:r>
      <w:proofErr w:type="spellStart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Corporation</w:t>
      </w:r>
      <w:proofErr w:type="spellEnd"/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CZ-USA, 4M Systems a CZ Export Praha. CZG rovněž drží menšinový podíl ve švédském výrobci optických montážních řešení pro zbraně, společnosti Spuhr i Dalby. Své produkty prodává CZG především pod značkami Colt, CZ (Česká zbrojovka), Colt Canada, CZ-USA, Dan Wesson, Brno Rifles a 4M Systems.</w:t>
      </w:r>
    </w:p>
    <w:p w14:paraId="06EE8BB0" w14:textId="77777777" w:rsidR="00945822" w:rsidRPr="00232CB5" w:rsidRDefault="00945822" w:rsidP="00945822">
      <w:p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CZG má své sídlo v České republice a výrobní kapacity v České republice, ve Spojených státech a v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232C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Kanadě. Ve svých provozech v České republice, USA, Kanadě, Německu a Švédsku zaměstnává CZG více než 2000 lidí.</w:t>
      </w:r>
    </w:p>
    <w:p w14:paraId="62BCD420" w14:textId="1E143ABA" w:rsidR="009F2B91" w:rsidRPr="00232CB5" w:rsidRDefault="009F2B91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091DA3B3" w14:textId="77777777" w:rsidR="006C4FF6" w:rsidRPr="00232CB5" w:rsidRDefault="006C4FF6" w:rsidP="00A860DC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7DE7CAAB" w14:textId="77777777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Kontakt pro média 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Kontakt pro investory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570D6A" w14:textId="77777777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Eva Svobodová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Klára Šípová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6AA68C2" w14:textId="4F6FB3FD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ředitelka pro vnější vztahy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Investor Relations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81BEBB" w14:textId="0B58C9B4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CZG – Česká zbrojovka Group SE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CZG – Česká zbrojovka Group SE</w:t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7EE71F" w14:textId="77777777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Tel.: +420 735 793 656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Tel.: + 420 724 255 715</w:t>
      </w:r>
      <w:r w:rsidRPr="005D70D7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756C46" w14:textId="09C2A875" w:rsidR="005D70D7" w:rsidRPr="005D70D7" w:rsidRDefault="005D70D7" w:rsidP="005D70D7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</w:rPr>
      </w:pPr>
      <w:r w:rsidRPr="005D70D7">
        <w:rPr>
          <w:rStyle w:val="normaltextrun"/>
          <w:rFonts w:ascii="Calibri" w:hAnsi="Calibri" w:cs="Calibri"/>
          <w:i/>
          <w:iCs/>
          <w:sz w:val="22"/>
          <w:szCs w:val="22"/>
        </w:rPr>
        <w:t>email: </w:t>
      </w:r>
      <w:hyperlink r:id="rId11" w:tgtFrame="_blank" w:history="1">
        <w:r w:rsidRPr="005D70D7">
          <w:rPr>
            <w:rStyle w:val="normaltextrun"/>
            <w:rFonts w:ascii="Calibri" w:hAnsi="Calibri" w:cs="Calibri"/>
            <w:i/>
            <w:iCs/>
            <w:sz w:val="22"/>
            <w:szCs w:val="22"/>
            <w:u w:val="single"/>
          </w:rPr>
          <w:t>media@czg.cz</w:t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  <w:r w:rsidRPr="005D70D7">
          <w:rPr>
            <w:rStyle w:val="tabchar"/>
            <w:rFonts w:ascii="Calibri" w:hAnsi="Calibri" w:cs="Calibri"/>
            <w:sz w:val="22"/>
            <w:szCs w:val="22"/>
          </w:rPr>
          <w:tab/>
        </w:r>
      </w:hyperlink>
      <w:r w:rsidRPr="005D70D7">
        <w:rPr>
          <w:rStyle w:val="normaltextrun"/>
          <w:rFonts w:ascii="Calibri" w:hAnsi="Calibri" w:cs="Calibri"/>
          <w:i/>
          <w:iCs/>
          <w:sz w:val="22"/>
          <w:szCs w:val="22"/>
        </w:rPr>
        <w:t>email: </w:t>
      </w:r>
      <w:hyperlink r:id="rId12" w:history="1">
        <w:r w:rsidRPr="0086213D">
          <w:rPr>
            <w:rStyle w:val="Hypertextovodkaz"/>
            <w:rFonts w:ascii="Calibri" w:hAnsi="Calibri" w:cs="Calibri"/>
            <w:i/>
            <w:iCs/>
            <w:sz w:val="22"/>
            <w:szCs w:val="22"/>
            <w:shd w:val="clear" w:color="auto" w:fill="FFFFFF"/>
          </w:rPr>
          <w:t>sipova.klara@czg.cz</w:t>
        </w:r>
        <w:r w:rsidRPr="0086213D">
          <w:rPr>
            <w:rStyle w:val="Hypertextovodkaz"/>
          </w:rPr>
          <w:br/>
        </w:r>
      </w:hyperlink>
    </w:p>
    <w:p w14:paraId="00266D14" w14:textId="24C03CC3" w:rsidR="00467558" w:rsidRPr="005D70D7" w:rsidRDefault="00467558" w:rsidP="0046755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tabchar"/>
          <w:rFonts w:ascii="Calibri" w:hAnsi="Calibri" w:cs="Calibri"/>
          <w:sz w:val="22"/>
          <w:szCs w:val="22"/>
        </w:rPr>
        <w:tab/>
      </w:r>
      <w:r w:rsidRPr="005D70D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39D771" w14:textId="114F7FB8" w:rsidR="00CB4095" w:rsidRPr="00232CB5" w:rsidRDefault="00CB4095" w:rsidP="00467558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CB4095" w:rsidRPr="00232CB5" w:rsidSect="008547EC">
      <w:headerReference w:type="default" r:id="rId13"/>
      <w:footerReference w:type="default" r:id="rId14"/>
      <w:pgSz w:w="11900" w:h="16840"/>
      <w:pgMar w:top="226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43DD" w14:textId="77777777" w:rsidR="00BF5380" w:rsidRDefault="00BF5380">
      <w:r>
        <w:separator/>
      </w:r>
    </w:p>
  </w:endnote>
  <w:endnote w:type="continuationSeparator" w:id="0">
    <w:p w14:paraId="74060CE0" w14:textId="77777777" w:rsidR="00BF5380" w:rsidRDefault="00BF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Montserrat Light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0DC" w14:textId="7E02335F" w:rsidR="00B541FE" w:rsidRDefault="00BD5FC2">
    <w:pPr>
      <w:pStyle w:val="Zpat"/>
      <w:tabs>
        <w:tab w:val="clear" w:pos="9072"/>
        <w:tab w:val="right" w:pos="9046"/>
      </w:tabs>
      <w:jc w:val="center"/>
    </w:pPr>
    <w:r w:rsidRPr="00721E36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9B511" wp14:editId="42C458EB">
              <wp:simplePos x="0" y="0"/>
              <wp:positionH relativeFrom="column">
                <wp:posOffset>-622300</wp:posOffset>
              </wp:positionH>
              <wp:positionV relativeFrom="paragraph">
                <wp:posOffset>100965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1532B" w14:textId="5D653BAE" w:rsidR="00BD5FC2" w:rsidRPr="00A61159" w:rsidRDefault="00BD5FC2" w:rsidP="00BD5FC2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proofErr w:type="gramStart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>CZG - Česká</w:t>
                          </w:r>
                          <w:proofErr w:type="gramEnd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Opletalova 1284/37, 110 00 </w:t>
                          </w:r>
                          <w:r w:rsidR="0044264F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Praha</w:t>
                          </w:r>
                          <w:r w:rsidR="0044264F"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 xml:space="preserve">1, </w:t>
                          </w:r>
                          <w:r w:rsidR="0044264F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Česká republika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, IČ: 291 51 961</w:t>
                          </w:r>
                        </w:p>
                        <w:p w14:paraId="00A07EE7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B51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-49pt;margin-top:7.95pt;width:437.9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" filled="f" stroked="f" strokeweight=".5pt">
              <v:textbox>
                <w:txbxContent>
                  <w:p w14:paraId="51C1532B" w14:textId="5D653BAE" w:rsidR="00BD5FC2" w:rsidRPr="00A61159" w:rsidRDefault="00BD5FC2" w:rsidP="00BD5FC2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CZG - Česká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Opletalova 1284/37, 110 00 </w:t>
                    </w:r>
                    <w:r w:rsidR="0044264F">
                      <w:rPr>
                        <w:rFonts w:ascii="Calibri" w:hAnsi="Calibri" w:cs="AppleSystemUIFont"/>
                        <w:sz w:val="20"/>
                        <w:szCs w:val="16"/>
                      </w:rPr>
                      <w:t>Praha</w:t>
                    </w:r>
                    <w:r w:rsidR="0044264F"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 xml:space="preserve">1, </w:t>
                    </w:r>
                    <w:r w:rsidR="0044264F">
                      <w:rPr>
                        <w:rFonts w:ascii="Calibri" w:hAnsi="Calibri" w:cs="AppleSystemUIFont"/>
                        <w:sz w:val="20"/>
                        <w:szCs w:val="16"/>
                      </w:rPr>
                      <w:t>Česká republika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, IČ: 291 51 961</w:t>
                    </w:r>
                  </w:p>
                  <w:p w14:paraId="00A07EE7" w14:textId="77777777" w:rsidR="00BD5FC2" w:rsidRPr="00A61159" w:rsidRDefault="00BD5FC2" w:rsidP="00BD5FC2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FB55" w14:textId="77777777" w:rsidR="00BF5380" w:rsidRDefault="00BF5380">
      <w:r>
        <w:separator/>
      </w:r>
    </w:p>
  </w:footnote>
  <w:footnote w:type="continuationSeparator" w:id="0">
    <w:p w14:paraId="29D3411A" w14:textId="77777777" w:rsidR="00BF5380" w:rsidRDefault="00BF5380">
      <w:r>
        <w:continuationSeparator/>
      </w:r>
    </w:p>
  </w:footnote>
  <w:footnote w:id="1">
    <w:p w14:paraId="707A67D7" w14:textId="750BB784" w:rsidR="00A75543" w:rsidRPr="009C093C" w:rsidRDefault="00A75543" w:rsidP="00A75543">
      <w:pPr>
        <w:pStyle w:val="Textpoznpodarou"/>
        <w:rPr>
          <w:rFonts w:ascii="Calibri" w:hAnsi="Calibri" w:cs="Calibri"/>
          <w:lang w:val="cs-CZ"/>
        </w:rPr>
      </w:pPr>
      <w:r w:rsidRPr="009C093C">
        <w:rPr>
          <w:rStyle w:val="Znakapoznpodarou"/>
          <w:rFonts w:ascii="Calibri" w:hAnsi="Calibri" w:cs="Calibri"/>
          <w:sz w:val="14"/>
          <w:szCs w:val="14"/>
          <w:lang w:val="cs-CZ"/>
        </w:rPr>
        <w:footnoteRef/>
      </w:r>
      <w:r w:rsidRPr="009C093C">
        <w:rPr>
          <w:rFonts w:ascii="Calibri" w:hAnsi="Calibri" w:cs="Calibri"/>
          <w:sz w:val="14"/>
          <w:szCs w:val="14"/>
          <w:lang w:val="cs-CZ"/>
        </w:rPr>
        <w:t xml:space="preserve"> </w:t>
      </w:r>
      <w:r w:rsidR="00F96D9C" w:rsidRPr="00D639EE">
        <w:rPr>
          <w:rFonts w:ascii="Calibri" w:hAnsi="Calibri" w:cs="Calibri"/>
          <w:sz w:val="14"/>
          <w:szCs w:val="14"/>
          <w:lang w:val="cs-CZ"/>
        </w:rPr>
        <w:t xml:space="preserve">Management Skupiny považuje ukazatel EBITDA </w:t>
      </w:r>
      <w:r w:rsidR="00F96D9C">
        <w:rPr>
          <w:rFonts w:ascii="Calibri" w:hAnsi="Calibri" w:cs="Calibri"/>
          <w:sz w:val="14"/>
          <w:szCs w:val="14"/>
          <w:lang w:val="cs-CZ"/>
        </w:rPr>
        <w:t xml:space="preserve">za </w:t>
      </w:r>
      <w:r w:rsidR="00F96D9C" w:rsidRPr="00D639EE">
        <w:rPr>
          <w:rFonts w:ascii="Calibri" w:hAnsi="Calibri" w:cs="Calibri"/>
          <w:sz w:val="14"/>
          <w:szCs w:val="14"/>
          <w:lang w:val="cs-CZ"/>
        </w:rPr>
        <w:t xml:space="preserve">klíčový výkonnostní ukazatel hospodaření Skupiny. EBITDA se vypočítává </w:t>
      </w:r>
      <w:r w:rsidR="00E53944" w:rsidRPr="00E6517D">
        <w:rPr>
          <w:rFonts w:ascii="Calibri" w:hAnsi="Calibri" w:cs="Calibri"/>
          <w:sz w:val="14"/>
          <w:szCs w:val="14"/>
          <w:lang w:val="cs-CZ"/>
        </w:rPr>
        <w:t>jako zisk po zdanění za sledované období, navýšený o daň z příjmu, snížený o ostatní finanční příjmy, navýšený o ostatní finanční náklady, snížený o příjmy z úroků, navýšený o úrokové náklady a snížený o výnosy z derivátových operací a zvýšený o náklady z derivátových operací a navýšený o odpisy a amortizaci.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E18" w14:textId="5E9E3386" w:rsidR="00B541FE" w:rsidRDefault="00BD5FC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62B85DA" wp14:editId="0BBBC615">
          <wp:simplePos x="0" y="0"/>
          <wp:positionH relativeFrom="page">
            <wp:align>right</wp:align>
          </wp:positionH>
          <wp:positionV relativeFrom="paragraph">
            <wp:posOffset>-440902</wp:posOffset>
          </wp:positionV>
          <wp:extent cx="7555609" cy="1067918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FE">
      <w:rPr>
        <w:noProof/>
      </w:rPr>
      <w:drawing>
        <wp:anchor distT="152400" distB="152400" distL="152400" distR="152400" simplePos="0" relativeHeight="251661312" behindDoc="1" locked="0" layoutInCell="1" allowOverlap="1" wp14:anchorId="16E13192" wp14:editId="7B92A499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34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4DF7393"/>
    <w:multiLevelType w:val="hybridMultilevel"/>
    <w:tmpl w:val="B5B4270C"/>
    <w:lvl w:ilvl="0" w:tplc="CCF8F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E65E4"/>
    <w:multiLevelType w:val="hybridMultilevel"/>
    <w:tmpl w:val="58DA1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536A81"/>
    <w:multiLevelType w:val="multilevel"/>
    <w:tmpl w:val="D96ED21C"/>
    <w:name w:val="ClientDocText"/>
    <w:lvl w:ilvl="0">
      <w:start w:val="1"/>
      <w:numFmt w:val="none"/>
      <w:pStyle w:val="DocTe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DocTe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DocTe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DocTe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DocTe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DocTe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DocTe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DocTe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DocTe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2B4104E2"/>
    <w:multiLevelType w:val="hybridMultilevel"/>
    <w:tmpl w:val="D39ECDEC"/>
    <w:lvl w:ilvl="0" w:tplc="26C26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D3CF2"/>
    <w:multiLevelType w:val="hybridMultilevel"/>
    <w:tmpl w:val="8AAEB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13FB"/>
    <w:multiLevelType w:val="hybridMultilevel"/>
    <w:tmpl w:val="605C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06B95"/>
    <w:multiLevelType w:val="hybridMultilevel"/>
    <w:tmpl w:val="F63E5718"/>
    <w:numStyleLink w:val="Importovanstyl2"/>
  </w:abstractNum>
  <w:abstractNum w:abstractNumId="19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453A"/>
    <w:multiLevelType w:val="hybridMultilevel"/>
    <w:tmpl w:val="6DB2BC56"/>
    <w:numStyleLink w:val="Importovanstyl1"/>
  </w:abstractNum>
  <w:abstractNum w:abstractNumId="24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9"/>
  </w:num>
  <w:num w:numId="4">
    <w:abstractNumId w:val="23"/>
  </w:num>
  <w:num w:numId="5">
    <w:abstractNumId w:val="7"/>
  </w:num>
  <w:num w:numId="6">
    <w:abstractNumId w:val="18"/>
  </w:num>
  <w:num w:numId="7">
    <w:abstractNumId w:val="23"/>
    <w:lvlOverride w:ilvl="0">
      <w:startOverride w:val="3"/>
    </w:lvlOverride>
  </w:num>
  <w:num w:numId="8">
    <w:abstractNumId w:val="11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20"/>
  </w:num>
  <w:num w:numId="14">
    <w:abstractNumId w:val="16"/>
  </w:num>
  <w:num w:numId="15">
    <w:abstractNumId w:val="12"/>
  </w:num>
  <w:num w:numId="16">
    <w:abstractNumId w:val="17"/>
  </w:num>
  <w:num w:numId="17">
    <w:abstractNumId w:val="22"/>
  </w:num>
  <w:num w:numId="18">
    <w:abstractNumId w:val="24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10"/>
  </w:num>
  <w:num w:numId="24">
    <w:abstractNumId w:val="8"/>
  </w:num>
  <w:num w:numId="25">
    <w:abstractNumId w:val="5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42"/>
    <w:rsid w:val="0000033C"/>
    <w:rsid w:val="00002312"/>
    <w:rsid w:val="00006F84"/>
    <w:rsid w:val="00011BC9"/>
    <w:rsid w:val="000121BD"/>
    <w:rsid w:val="000137C5"/>
    <w:rsid w:val="000145C2"/>
    <w:rsid w:val="00015D23"/>
    <w:rsid w:val="00016A49"/>
    <w:rsid w:val="0002199B"/>
    <w:rsid w:val="00022236"/>
    <w:rsid w:val="00023287"/>
    <w:rsid w:val="000263F5"/>
    <w:rsid w:val="00033020"/>
    <w:rsid w:val="000366F8"/>
    <w:rsid w:val="00036AF6"/>
    <w:rsid w:val="00043A32"/>
    <w:rsid w:val="0004435C"/>
    <w:rsid w:val="000448C3"/>
    <w:rsid w:val="00053B1C"/>
    <w:rsid w:val="00054D42"/>
    <w:rsid w:val="00062906"/>
    <w:rsid w:val="0007535B"/>
    <w:rsid w:val="00081212"/>
    <w:rsid w:val="00081B56"/>
    <w:rsid w:val="00082D9E"/>
    <w:rsid w:val="000833F7"/>
    <w:rsid w:val="0008559E"/>
    <w:rsid w:val="00085826"/>
    <w:rsid w:val="00085F4E"/>
    <w:rsid w:val="0009140E"/>
    <w:rsid w:val="000919F2"/>
    <w:rsid w:val="00091E69"/>
    <w:rsid w:val="00093108"/>
    <w:rsid w:val="00093FB3"/>
    <w:rsid w:val="0009411E"/>
    <w:rsid w:val="000952CF"/>
    <w:rsid w:val="000A27C6"/>
    <w:rsid w:val="000B13E7"/>
    <w:rsid w:val="000B1A87"/>
    <w:rsid w:val="000B21AC"/>
    <w:rsid w:val="000B24A8"/>
    <w:rsid w:val="000C0981"/>
    <w:rsid w:val="000C2FD7"/>
    <w:rsid w:val="000C4FC8"/>
    <w:rsid w:val="000C5E76"/>
    <w:rsid w:val="000D25CD"/>
    <w:rsid w:val="000D43DB"/>
    <w:rsid w:val="000D7679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5A4"/>
    <w:rsid w:val="001010ED"/>
    <w:rsid w:val="00101DB3"/>
    <w:rsid w:val="001037CA"/>
    <w:rsid w:val="001053D9"/>
    <w:rsid w:val="00107B98"/>
    <w:rsid w:val="00107DD7"/>
    <w:rsid w:val="0011466E"/>
    <w:rsid w:val="00114B57"/>
    <w:rsid w:val="001162D9"/>
    <w:rsid w:val="00123F88"/>
    <w:rsid w:val="0012423E"/>
    <w:rsid w:val="001266D7"/>
    <w:rsid w:val="00130054"/>
    <w:rsid w:val="001338D4"/>
    <w:rsid w:val="0013496F"/>
    <w:rsid w:val="00143368"/>
    <w:rsid w:val="001445E8"/>
    <w:rsid w:val="00144662"/>
    <w:rsid w:val="001465DA"/>
    <w:rsid w:val="0014789A"/>
    <w:rsid w:val="00152161"/>
    <w:rsid w:val="001529C5"/>
    <w:rsid w:val="0015380F"/>
    <w:rsid w:val="00154180"/>
    <w:rsid w:val="001545D6"/>
    <w:rsid w:val="00154B2A"/>
    <w:rsid w:val="001563C4"/>
    <w:rsid w:val="00157A69"/>
    <w:rsid w:val="00160081"/>
    <w:rsid w:val="00166635"/>
    <w:rsid w:val="001667DE"/>
    <w:rsid w:val="001679A4"/>
    <w:rsid w:val="00173CFC"/>
    <w:rsid w:val="001805AD"/>
    <w:rsid w:val="001805ED"/>
    <w:rsid w:val="0018534A"/>
    <w:rsid w:val="001855E8"/>
    <w:rsid w:val="001864A6"/>
    <w:rsid w:val="00190412"/>
    <w:rsid w:val="001927CC"/>
    <w:rsid w:val="0019321B"/>
    <w:rsid w:val="001956C5"/>
    <w:rsid w:val="001A1BA5"/>
    <w:rsid w:val="001B21D7"/>
    <w:rsid w:val="001B2B42"/>
    <w:rsid w:val="001B3E89"/>
    <w:rsid w:val="001B409D"/>
    <w:rsid w:val="001B4889"/>
    <w:rsid w:val="001B6380"/>
    <w:rsid w:val="001B76DA"/>
    <w:rsid w:val="001D5CE9"/>
    <w:rsid w:val="001E3DB4"/>
    <w:rsid w:val="001F0064"/>
    <w:rsid w:val="001F2F7E"/>
    <w:rsid w:val="001F3024"/>
    <w:rsid w:val="001F32C6"/>
    <w:rsid w:val="001F5959"/>
    <w:rsid w:val="001F6EC0"/>
    <w:rsid w:val="001F7060"/>
    <w:rsid w:val="00201A5A"/>
    <w:rsid w:val="002031F9"/>
    <w:rsid w:val="002052D2"/>
    <w:rsid w:val="00205F0B"/>
    <w:rsid w:val="00210C64"/>
    <w:rsid w:val="0021469E"/>
    <w:rsid w:val="00215AC8"/>
    <w:rsid w:val="00226D51"/>
    <w:rsid w:val="0022733B"/>
    <w:rsid w:val="00230885"/>
    <w:rsid w:val="00230A6D"/>
    <w:rsid w:val="002322ED"/>
    <w:rsid w:val="00232CB5"/>
    <w:rsid w:val="00234C27"/>
    <w:rsid w:val="002356E7"/>
    <w:rsid w:val="00235C53"/>
    <w:rsid w:val="00236273"/>
    <w:rsid w:val="0023674D"/>
    <w:rsid w:val="00236CF3"/>
    <w:rsid w:val="00237545"/>
    <w:rsid w:val="00237AC2"/>
    <w:rsid w:val="002407E6"/>
    <w:rsid w:val="00243B18"/>
    <w:rsid w:val="00243B74"/>
    <w:rsid w:val="00245B7D"/>
    <w:rsid w:val="00245EF9"/>
    <w:rsid w:val="002630DB"/>
    <w:rsid w:val="00265157"/>
    <w:rsid w:val="00265227"/>
    <w:rsid w:val="0026547E"/>
    <w:rsid w:val="002669C7"/>
    <w:rsid w:val="00273B30"/>
    <w:rsid w:val="00275A82"/>
    <w:rsid w:val="00277152"/>
    <w:rsid w:val="00280D7C"/>
    <w:rsid w:val="00282247"/>
    <w:rsid w:val="00283187"/>
    <w:rsid w:val="00283EAA"/>
    <w:rsid w:val="00284597"/>
    <w:rsid w:val="00286E54"/>
    <w:rsid w:val="00296B1E"/>
    <w:rsid w:val="002A0E9F"/>
    <w:rsid w:val="002A2180"/>
    <w:rsid w:val="002A6D66"/>
    <w:rsid w:val="002A71E3"/>
    <w:rsid w:val="002A74E2"/>
    <w:rsid w:val="002B0F85"/>
    <w:rsid w:val="002B37AD"/>
    <w:rsid w:val="002B41B0"/>
    <w:rsid w:val="002B5E88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D7501"/>
    <w:rsid w:val="002D7846"/>
    <w:rsid w:val="002E3DD7"/>
    <w:rsid w:val="002E5ED2"/>
    <w:rsid w:val="002E687B"/>
    <w:rsid w:val="002E7C08"/>
    <w:rsid w:val="002F1246"/>
    <w:rsid w:val="002F1C2D"/>
    <w:rsid w:val="00305D8A"/>
    <w:rsid w:val="0031046B"/>
    <w:rsid w:val="00310727"/>
    <w:rsid w:val="00312755"/>
    <w:rsid w:val="003136A9"/>
    <w:rsid w:val="00313FCB"/>
    <w:rsid w:val="003157E9"/>
    <w:rsid w:val="003208CF"/>
    <w:rsid w:val="00325300"/>
    <w:rsid w:val="00325440"/>
    <w:rsid w:val="003274A1"/>
    <w:rsid w:val="00331CF0"/>
    <w:rsid w:val="003345B0"/>
    <w:rsid w:val="00335267"/>
    <w:rsid w:val="00335EA2"/>
    <w:rsid w:val="003376A9"/>
    <w:rsid w:val="00337A39"/>
    <w:rsid w:val="00343CD6"/>
    <w:rsid w:val="00344BB2"/>
    <w:rsid w:val="00344D60"/>
    <w:rsid w:val="00346412"/>
    <w:rsid w:val="00346BAD"/>
    <w:rsid w:val="00350A30"/>
    <w:rsid w:val="00360460"/>
    <w:rsid w:val="00361EFE"/>
    <w:rsid w:val="0036696B"/>
    <w:rsid w:val="00366E91"/>
    <w:rsid w:val="003717F4"/>
    <w:rsid w:val="00373A60"/>
    <w:rsid w:val="00374701"/>
    <w:rsid w:val="00381D4F"/>
    <w:rsid w:val="00382676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D9"/>
    <w:rsid w:val="003B0B57"/>
    <w:rsid w:val="003B3823"/>
    <w:rsid w:val="003B4A06"/>
    <w:rsid w:val="003B5025"/>
    <w:rsid w:val="003B53D2"/>
    <w:rsid w:val="003B6A78"/>
    <w:rsid w:val="003C2140"/>
    <w:rsid w:val="003C3B50"/>
    <w:rsid w:val="003C4690"/>
    <w:rsid w:val="003C693A"/>
    <w:rsid w:val="003D0DDD"/>
    <w:rsid w:val="003D1805"/>
    <w:rsid w:val="003D1F47"/>
    <w:rsid w:val="003D38C3"/>
    <w:rsid w:val="003D3A44"/>
    <w:rsid w:val="003D7359"/>
    <w:rsid w:val="003D7811"/>
    <w:rsid w:val="003D7BDD"/>
    <w:rsid w:val="003E110B"/>
    <w:rsid w:val="003E5C5F"/>
    <w:rsid w:val="003E6BD8"/>
    <w:rsid w:val="003E746A"/>
    <w:rsid w:val="003E75C1"/>
    <w:rsid w:val="003F1658"/>
    <w:rsid w:val="003F1965"/>
    <w:rsid w:val="003F3A2B"/>
    <w:rsid w:val="003F3D43"/>
    <w:rsid w:val="003F4745"/>
    <w:rsid w:val="003F4A1B"/>
    <w:rsid w:val="00402192"/>
    <w:rsid w:val="00404841"/>
    <w:rsid w:val="0040514D"/>
    <w:rsid w:val="004056E8"/>
    <w:rsid w:val="0040660A"/>
    <w:rsid w:val="0040789A"/>
    <w:rsid w:val="00412DFF"/>
    <w:rsid w:val="00414F9C"/>
    <w:rsid w:val="0041624C"/>
    <w:rsid w:val="0041754E"/>
    <w:rsid w:val="004212F9"/>
    <w:rsid w:val="00424319"/>
    <w:rsid w:val="00426F66"/>
    <w:rsid w:val="00437606"/>
    <w:rsid w:val="004377B6"/>
    <w:rsid w:val="0044264F"/>
    <w:rsid w:val="0045211D"/>
    <w:rsid w:val="00452D75"/>
    <w:rsid w:val="004543A3"/>
    <w:rsid w:val="00456EE3"/>
    <w:rsid w:val="004573CE"/>
    <w:rsid w:val="00463702"/>
    <w:rsid w:val="00465761"/>
    <w:rsid w:val="00466951"/>
    <w:rsid w:val="00467558"/>
    <w:rsid w:val="004707AA"/>
    <w:rsid w:val="00474FCA"/>
    <w:rsid w:val="004772F9"/>
    <w:rsid w:val="00477DEC"/>
    <w:rsid w:val="00483D54"/>
    <w:rsid w:val="00484071"/>
    <w:rsid w:val="00485014"/>
    <w:rsid w:val="004900C7"/>
    <w:rsid w:val="00492BE6"/>
    <w:rsid w:val="004949ED"/>
    <w:rsid w:val="004959C1"/>
    <w:rsid w:val="00496496"/>
    <w:rsid w:val="004970B0"/>
    <w:rsid w:val="004978A3"/>
    <w:rsid w:val="004A55AB"/>
    <w:rsid w:val="004A64A6"/>
    <w:rsid w:val="004A6F32"/>
    <w:rsid w:val="004B05B1"/>
    <w:rsid w:val="004B2BD5"/>
    <w:rsid w:val="004C0BB6"/>
    <w:rsid w:val="004C1874"/>
    <w:rsid w:val="004C30EC"/>
    <w:rsid w:val="004C50C5"/>
    <w:rsid w:val="004C7BD2"/>
    <w:rsid w:val="004D075E"/>
    <w:rsid w:val="004D0CF0"/>
    <w:rsid w:val="004D21E1"/>
    <w:rsid w:val="004D45C7"/>
    <w:rsid w:val="004D4FB2"/>
    <w:rsid w:val="004D5AC0"/>
    <w:rsid w:val="004D620A"/>
    <w:rsid w:val="004D6751"/>
    <w:rsid w:val="004D7AC3"/>
    <w:rsid w:val="004E304E"/>
    <w:rsid w:val="004E30DD"/>
    <w:rsid w:val="004E55BC"/>
    <w:rsid w:val="004E60E6"/>
    <w:rsid w:val="004F0E8C"/>
    <w:rsid w:val="004F1480"/>
    <w:rsid w:val="004F5E21"/>
    <w:rsid w:val="005010A0"/>
    <w:rsid w:val="00501BF3"/>
    <w:rsid w:val="005036EB"/>
    <w:rsid w:val="005037E1"/>
    <w:rsid w:val="00506252"/>
    <w:rsid w:val="00507F83"/>
    <w:rsid w:val="00514DD4"/>
    <w:rsid w:val="00514EFC"/>
    <w:rsid w:val="00515FC2"/>
    <w:rsid w:val="00516083"/>
    <w:rsid w:val="00520594"/>
    <w:rsid w:val="00521286"/>
    <w:rsid w:val="00522927"/>
    <w:rsid w:val="00523F56"/>
    <w:rsid w:val="00524829"/>
    <w:rsid w:val="00525E59"/>
    <w:rsid w:val="00527D92"/>
    <w:rsid w:val="00531919"/>
    <w:rsid w:val="00531CB3"/>
    <w:rsid w:val="00531FB7"/>
    <w:rsid w:val="005350C4"/>
    <w:rsid w:val="00535F7E"/>
    <w:rsid w:val="00537097"/>
    <w:rsid w:val="0054156C"/>
    <w:rsid w:val="005436BD"/>
    <w:rsid w:val="00544402"/>
    <w:rsid w:val="0055301D"/>
    <w:rsid w:val="00554101"/>
    <w:rsid w:val="00554ABB"/>
    <w:rsid w:val="0055504C"/>
    <w:rsid w:val="00555B24"/>
    <w:rsid w:val="00557BFC"/>
    <w:rsid w:val="005629DE"/>
    <w:rsid w:val="00562A3A"/>
    <w:rsid w:val="005630E8"/>
    <w:rsid w:val="00564F18"/>
    <w:rsid w:val="00565BE2"/>
    <w:rsid w:val="005663FA"/>
    <w:rsid w:val="00567E72"/>
    <w:rsid w:val="0057042A"/>
    <w:rsid w:val="005705E0"/>
    <w:rsid w:val="005762E1"/>
    <w:rsid w:val="00580550"/>
    <w:rsid w:val="00580E22"/>
    <w:rsid w:val="00581906"/>
    <w:rsid w:val="005827C7"/>
    <w:rsid w:val="00584AF1"/>
    <w:rsid w:val="00584D27"/>
    <w:rsid w:val="00591E20"/>
    <w:rsid w:val="005A0884"/>
    <w:rsid w:val="005A3A2E"/>
    <w:rsid w:val="005A4FD7"/>
    <w:rsid w:val="005A777E"/>
    <w:rsid w:val="005B1018"/>
    <w:rsid w:val="005B336A"/>
    <w:rsid w:val="005B3CC4"/>
    <w:rsid w:val="005B53E2"/>
    <w:rsid w:val="005B5BE6"/>
    <w:rsid w:val="005C3EB8"/>
    <w:rsid w:val="005C54FA"/>
    <w:rsid w:val="005C59D9"/>
    <w:rsid w:val="005D077E"/>
    <w:rsid w:val="005D1C6B"/>
    <w:rsid w:val="005D3833"/>
    <w:rsid w:val="005D3E2D"/>
    <w:rsid w:val="005D4AFD"/>
    <w:rsid w:val="005D568D"/>
    <w:rsid w:val="005D583F"/>
    <w:rsid w:val="005D586C"/>
    <w:rsid w:val="005D70D7"/>
    <w:rsid w:val="005E094E"/>
    <w:rsid w:val="005E51F6"/>
    <w:rsid w:val="005F03BF"/>
    <w:rsid w:val="005F3B00"/>
    <w:rsid w:val="006051EB"/>
    <w:rsid w:val="00607B14"/>
    <w:rsid w:val="00611CE1"/>
    <w:rsid w:val="00614621"/>
    <w:rsid w:val="00616A59"/>
    <w:rsid w:val="006243A3"/>
    <w:rsid w:val="00626F7E"/>
    <w:rsid w:val="00626F85"/>
    <w:rsid w:val="00630143"/>
    <w:rsid w:val="00631A42"/>
    <w:rsid w:val="00635E5C"/>
    <w:rsid w:val="006360E8"/>
    <w:rsid w:val="00636FFC"/>
    <w:rsid w:val="0065282C"/>
    <w:rsid w:val="006540B4"/>
    <w:rsid w:val="0065430A"/>
    <w:rsid w:val="0065560B"/>
    <w:rsid w:val="00656404"/>
    <w:rsid w:val="0065762D"/>
    <w:rsid w:val="00660AFC"/>
    <w:rsid w:val="00660EF7"/>
    <w:rsid w:val="0066168C"/>
    <w:rsid w:val="0066271B"/>
    <w:rsid w:val="006657F8"/>
    <w:rsid w:val="00670BB7"/>
    <w:rsid w:val="00671428"/>
    <w:rsid w:val="00680A38"/>
    <w:rsid w:val="0068171A"/>
    <w:rsid w:val="006836F3"/>
    <w:rsid w:val="00684391"/>
    <w:rsid w:val="0068462A"/>
    <w:rsid w:val="00684B27"/>
    <w:rsid w:val="0069186B"/>
    <w:rsid w:val="006A14DC"/>
    <w:rsid w:val="006A40B9"/>
    <w:rsid w:val="006A5412"/>
    <w:rsid w:val="006A5842"/>
    <w:rsid w:val="006B22C3"/>
    <w:rsid w:val="006B31A4"/>
    <w:rsid w:val="006C4FF6"/>
    <w:rsid w:val="006C5294"/>
    <w:rsid w:val="006D3F5A"/>
    <w:rsid w:val="006D5E52"/>
    <w:rsid w:val="006D7610"/>
    <w:rsid w:val="006E07B1"/>
    <w:rsid w:val="006E0EDC"/>
    <w:rsid w:val="006E6294"/>
    <w:rsid w:val="006E679F"/>
    <w:rsid w:val="006F2ADD"/>
    <w:rsid w:val="006F38BB"/>
    <w:rsid w:val="006F49B4"/>
    <w:rsid w:val="00704B37"/>
    <w:rsid w:val="0070650A"/>
    <w:rsid w:val="007105E6"/>
    <w:rsid w:val="00710653"/>
    <w:rsid w:val="007138CB"/>
    <w:rsid w:val="00716680"/>
    <w:rsid w:val="0071721B"/>
    <w:rsid w:val="00722E98"/>
    <w:rsid w:val="00724A68"/>
    <w:rsid w:val="00724EAE"/>
    <w:rsid w:val="00730EBD"/>
    <w:rsid w:val="007315C1"/>
    <w:rsid w:val="00733BEA"/>
    <w:rsid w:val="0073704D"/>
    <w:rsid w:val="007373AD"/>
    <w:rsid w:val="007433DB"/>
    <w:rsid w:val="00744DD0"/>
    <w:rsid w:val="0074642D"/>
    <w:rsid w:val="00746C55"/>
    <w:rsid w:val="00752DC4"/>
    <w:rsid w:val="007554CD"/>
    <w:rsid w:val="00756121"/>
    <w:rsid w:val="007568C9"/>
    <w:rsid w:val="007605EF"/>
    <w:rsid w:val="007621A1"/>
    <w:rsid w:val="00763DC5"/>
    <w:rsid w:val="00764E2E"/>
    <w:rsid w:val="007670D9"/>
    <w:rsid w:val="00770356"/>
    <w:rsid w:val="00771AAF"/>
    <w:rsid w:val="0077585F"/>
    <w:rsid w:val="00776085"/>
    <w:rsid w:val="00776CB5"/>
    <w:rsid w:val="00776D66"/>
    <w:rsid w:val="00782FC1"/>
    <w:rsid w:val="00790B7D"/>
    <w:rsid w:val="0079518A"/>
    <w:rsid w:val="007A42C1"/>
    <w:rsid w:val="007A4459"/>
    <w:rsid w:val="007A58D4"/>
    <w:rsid w:val="007A6CDD"/>
    <w:rsid w:val="007A7F42"/>
    <w:rsid w:val="007B63FA"/>
    <w:rsid w:val="007B6ABB"/>
    <w:rsid w:val="007C26CE"/>
    <w:rsid w:val="007C3807"/>
    <w:rsid w:val="007D2B05"/>
    <w:rsid w:val="007D3EDD"/>
    <w:rsid w:val="007E2BF3"/>
    <w:rsid w:val="007E394E"/>
    <w:rsid w:val="007E5401"/>
    <w:rsid w:val="007E7F05"/>
    <w:rsid w:val="007F7634"/>
    <w:rsid w:val="008006F1"/>
    <w:rsid w:val="008043CA"/>
    <w:rsid w:val="00804CC6"/>
    <w:rsid w:val="00806EEE"/>
    <w:rsid w:val="00812C8C"/>
    <w:rsid w:val="00820657"/>
    <w:rsid w:val="00821B0E"/>
    <w:rsid w:val="008229F4"/>
    <w:rsid w:val="00832780"/>
    <w:rsid w:val="008328E7"/>
    <w:rsid w:val="00833714"/>
    <w:rsid w:val="008355A0"/>
    <w:rsid w:val="0083575E"/>
    <w:rsid w:val="008359D9"/>
    <w:rsid w:val="00841E63"/>
    <w:rsid w:val="00841E84"/>
    <w:rsid w:val="00842B15"/>
    <w:rsid w:val="008432DA"/>
    <w:rsid w:val="00843432"/>
    <w:rsid w:val="0084533D"/>
    <w:rsid w:val="00846048"/>
    <w:rsid w:val="00847925"/>
    <w:rsid w:val="008547EC"/>
    <w:rsid w:val="00860737"/>
    <w:rsid w:val="00861D5A"/>
    <w:rsid w:val="0086342C"/>
    <w:rsid w:val="008640CC"/>
    <w:rsid w:val="0087024A"/>
    <w:rsid w:val="00873AF5"/>
    <w:rsid w:val="00874C94"/>
    <w:rsid w:val="00877B11"/>
    <w:rsid w:val="00877ED6"/>
    <w:rsid w:val="00880709"/>
    <w:rsid w:val="00884B03"/>
    <w:rsid w:val="008879C5"/>
    <w:rsid w:val="0089220A"/>
    <w:rsid w:val="00897CFB"/>
    <w:rsid w:val="008A0170"/>
    <w:rsid w:val="008A31EC"/>
    <w:rsid w:val="008A4CA5"/>
    <w:rsid w:val="008A642E"/>
    <w:rsid w:val="008B2AE0"/>
    <w:rsid w:val="008B426C"/>
    <w:rsid w:val="008B65D9"/>
    <w:rsid w:val="008C0D3C"/>
    <w:rsid w:val="008C7A43"/>
    <w:rsid w:val="008D1A38"/>
    <w:rsid w:val="008D2C30"/>
    <w:rsid w:val="008D6ABE"/>
    <w:rsid w:val="008F293E"/>
    <w:rsid w:val="008F398E"/>
    <w:rsid w:val="008F4015"/>
    <w:rsid w:val="008F4B21"/>
    <w:rsid w:val="008F63D4"/>
    <w:rsid w:val="009025E9"/>
    <w:rsid w:val="00903103"/>
    <w:rsid w:val="00903354"/>
    <w:rsid w:val="009051FC"/>
    <w:rsid w:val="009125F4"/>
    <w:rsid w:val="00913052"/>
    <w:rsid w:val="00913752"/>
    <w:rsid w:val="00914E1F"/>
    <w:rsid w:val="00915065"/>
    <w:rsid w:val="00915875"/>
    <w:rsid w:val="00915DF1"/>
    <w:rsid w:val="00920273"/>
    <w:rsid w:val="0092110E"/>
    <w:rsid w:val="00921A3B"/>
    <w:rsid w:val="00923A2F"/>
    <w:rsid w:val="00923D36"/>
    <w:rsid w:val="00924F2D"/>
    <w:rsid w:val="00927D1C"/>
    <w:rsid w:val="009307EC"/>
    <w:rsid w:val="00933A3E"/>
    <w:rsid w:val="009342AC"/>
    <w:rsid w:val="00936093"/>
    <w:rsid w:val="00937CA8"/>
    <w:rsid w:val="00941AEE"/>
    <w:rsid w:val="00945822"/>
    <w:rsid w:val="00952871"/>
    <w:rsid w:val="00952A67"/>
    <w:rsid w:val="00955D6F"/>
    <w:rsid w:val="009573A7"/>
    <w:rsid w:val="009613C0"/>
    <w:rsid w:val="00962E5F"/>
    <w:rsid w:val="00963D40"/>
    <w:rsid w:val="00964C6A"/>
    <w:rsid w:val="00965EB1"/>
    <w:rsid w:val="009671A0"/>
    <w:rsid w:val="009707CF"/>
    <w:rsid w:val="00970CA1"/>
    <w:rsid w:val="009758F1"/>
    <w:rsid w:val="009769FD"/>
    <w:rsid w:val="009808CC"/>
    <w:rsid w:val="009905B5"/>
    <w:rsid w:val="00991E29"/>
    <w:rsid w:val="00993994"/>
    <w:rsid w:val="0099663C"/>
    <w:rsid w:val="009968BA"/>
    <w:rsid w:val="009A64B5"/>
    <w:rsid w:val="009A7258"/>
    <w:rsid w:val="009B06C3"/>
    <w:rsid w:val="009B10FD"/>
    <w:rsid w:val="009B320B"/>
    <w:rsid w:val="009B4CC1"/>
    <w:rsid w:val="009B711E"/>
    <w:rsid w:val="009C093C"/>
    <w:rsid w:val="009C2F8D"/>
    <w:rsid w:val="009D0305"/>
    <w:rsid w:val="009D0AEC"/>
    <w:rsid w:val="009D4F11"/>
    <w:rsid w:val="009E0B53"/>
    <w:rsid w:val="009E0BA0"/>
    <w:rsid w:val="009E195C"/>
    <w:rsid w:val="009E23AD"/>
    <w:rsid w:val="009E2575"/>
    <w:rsid w:val="009E2717"/>
    <w:rsid w:val="009E3AE0"/>
    <w:rsid w:val="009E4BF8"/>
    <w:rsid w:val="009F2B91"/>
    <w:rsid w:val="009F6620"/>
    <w:rsid w:val="009F66ED"/>
    <w:rsid w:val="00A05283"/>
    <w:rsid w:val="00A059D0"/>
    <w:rsid w:val="00A141D3"/>
    <w:rsid w:val="00A14A1C"/>
    <w:rsid w:val="00A17A96"/>
    <w:rsid w:val="00A20C35"/>
    <w:rsid w:val="00A22574"/>
    <w:rsid w:val="00A22FB7"/>
    <w:rsid w:val="00A230F6"/>
    <w:rsid w:val="00A2378E"/>
    <w:rsid w:val="00A239AD"/>
    <w:rsid w:val="00A24A3D"/>
    <w:rsid w:val="00A2515D"/>
    <w:rsid w:val="00A25BAA"/>
    <w:rsid w:val="00A25BF9"/>
    <w:rsid w:val="00A261FD"/>
    <w:rsid w:val="00A26F3E"/>
    <w:rsid w:val="00A271DB"/>
    <w:rsid w:val="00A308C7"/>
    <w:rsid w:val="00A32E32"/>
    <w:rsid w:val="00A33D93"/>
    <w:rsid w:val="00A344E2"/>
    <w:rsid w:val="00A35ECB"/>
    <w:rsid w:val="00A40EB0"/>
    <w:rsid w:val="00A41B38"/>
    <w:rsid w:val="00A4385F"/>
    <w:rsid w:val="00A5018D"/>
    <w:rsid w:val="00A539CB"/>
    <w:rsid w:val="00A546E9"/>
    <w:rsid w:val="00A56FC2"/>
    <w:rsid w:val="00A63A7D"/>
    <w:rsid w:val="00A646D6"/>
    <w:rsid w:val="00A66764"/>
    <w:rsid w:val="00A7239E"/>
    <w:rsid w:val="00A72816"/>
    <w:rsid w:val="00A72E1E"/>
    <w:rsid w:val="00A75543"/>
    <w:rsid w:val="00A7558A"/>
    <w:rsid w:val="00A756EC"/>
    <w:rsid w:val="00A76F9A"/>
    <w:rsid w:val="00A80342"/>
    <w:rsid w:val="00A82C5F"/>
    <w:rsid w:val="00A85A5A"/>
    <w:rsid w:val="00A860CC"/>
    <w:rsid w:val="00A860DC"/>
    <w:rsid w:val="00A867D7"/>
    <w:rsid w:val="00A86AFF"/>
    <w:rsid w:val="00A8771A"/>
    <w:rsid w:val="00A9630A"/>
    <w:rsid w:val="00AA046D"/>
    <w:rsid w:val="00AA0FDA"/>
    <w:rsid w:val="00AA39B3"/>
    <w:rsid w:val="00AB3049"/>
    <w:rsid w:val="00AB39EA"/>
    <w:rsid w:val="00AB3C79"/>
    <w:rsid w:val="00AB6D42"/>
    <w:rsid w:val="00AB73DB"/>
    <w:rsid w:val="00AC3D2D"/>
    <w:rsid w:val="00AC4ADE"/>
    <w:rsid w:val="00AC6BC1"/>
    <w:rsid w:val="00AD7EE9"/>
    <w:rsid w:val="00AE192D"/>
    <w:rsid w:val="00AE2946"/>
    <w:rsid w:val="00AE4574"/>
    <w:rsid w:val="00AF04BD"/>
    <w:rsid w:val="00AF0691"/>
    <w:rsid w:val="00AF33CF"/>
    <w:rsid w:val="00AF409F"/>
    <w:rsid w:val="00AF4E8C"/>
    <w:rsid w:val="00AF59F7"/>
    <w:rsid w:val="00B015E9"/>
    <w:rsid w:val="00B022B6"/>
    <w:rsid w:val="00B06728"/>
    <w:rsid w:val="00B077A5"/>
    <w:rsid w:val="00B11874"/>
    <w:rsid w:val="00B12A34"/>
    <w:rsid w:val="00B13BA2"/>
    <w:rsid w:val="00B13EC9"/>
    <w:rsid w:val="00B148E0"/>
    <w:rsid w:val="00B24D0C"/>
    <w:rsid w:val="00B30C4D"/>
    <w:rsid w:val="00B31632"/>
    <w:rsid w:val="00B32F3D"/>
    <w:rsid w:val="00B33A44"/>
    <w:rsid w:val="00B34FBC"/>
    <w:rsid w:val="00B357EB"/>
    <w:rsid w:val="00B359CA"/>
    <w:rsid w:val="00B37ADE"/>
    <w:rsid w:val="00B40446"/>
    <w:rsid w:val="00B44178"/>
    <w:rsid w:val="00B50C29"/>
    <w:rsid w:val="00B51C90"/>
    <w:rsid w:val="00B541FE"/>
    <w:rsid w:val="00B54B9E"/>
    <w:rsid w:val="00B55120"/>
    <w:rsid w:val="00B55519"/>
    <w:rsid w:val="00B65457"/>
    <w:rsid w:val="00B676B8"/>
    <w:rsid w:val="00B741B9"/>
    <w:rsid w:val="00B747BE"/>
    <w:rsid w:val="00B82677"/>
    <w:rsid w:val="00B86B07"/>
    <w:rsid w:val="00B91585"/>
    <w:rsid w:val="00B92C08"/>
    <w:rsid w:val="00B96AD5"/>
    <w:rsid w:val="00BA3604"/>
    <w:rsid w:val="00BA3911"/>
    <w:rsid w:val="00BA5B32"/>
    <w:rsid w:val="00BA6343"/>
    <w:rsid w:val="00BB03E3"/>
    <w:rsid w:val="00BB6B39"/>
    <w:rsid w:val="00BC19E7"/>
    <w:rsid w:val="00BC28F4"/>
    <w:rsid w:val="00BC32FB"/>
    <w:rsid w:val="00BC7BE7"/>
    <w:rsid w:val="00BD1CBE"/>
    <w:rsid w:val="00BD2736"/>
    <w:rsid w:val="00BD51C0"/>
    <w:rsid w:val="00BD5F80"/>
    <w:rsid w:val="00BD5FC2"/>
    <w:rsid w:val="00BD660E"/>
    <w:rsid w:val="00BE1CBA"/>
    <w:rsid w:val="00BE1F19"/>
    <w:rsid w:val="00BE390A"/>
    <w:rsid w:val="00BE3B07"/>
    <w:rsid w:val="00BE6196"/>
    <w:rsid w:val="00BE7863"/>
    <w:rsid w:val="00BF34F0"/>
    <w:rsid w:val="00BF4CBD"/>
    <w:rsid w:val="00BF5380"/>
    <w:rsid w:val="00BF77CC"/>
    <w:rsid w:val="00C004C3"/>
    <w:rsid w:val="00C027D7"/>
    <w:rsid w:val="00C1036C"/>
    <w:rsid w:val="00C14FE5"/>
    <w:rsid w:val="00C17D75"/>
    <w:rsid w:val="00C21598"/>
    <w:rsid w:val="00C21AB4"/>
    <w:rsid w:val="00C22CEA"/>
    <w:rsid w:val="00C23546"/>
    <w:rsid w:val="00C240FB"/>
    <w:rsid w:val="00C256F8"/>
    <w:rsid w:val="00C312DC"/>
    <w:rsid w:val="00C315CB"/>
    <w:rsid w:val="00C33672"/>
    <w:rsid w:val="00C40A62"/>
    <w:rsid w:val="00C419A5"/>
    <w:rsid w:val="00C43379"/>
    <w:rsid w:val="00C45443"/>
    <w:rsid w:val="00C47C19"/>
    <w:rsid w:val="00C5190B"/>
    <w:rsid w:val="00C52BF2"/>
    <w:rsid w:val="00C565EB"/>
    <w:rsid w:val="00C5669E"/>
    <w:rsid w:val="00C57455"/>
    <w:rsid w:val="00C577DC"/>
    <w:rsid w:val="00C63670"/>
    <w:rsid w:val="00C63723"/>
    <w:rsid w:val="00C65C3B"/>
    <w:rsid w:val="00C72A0A"/>
    <w:rsid w:val="00C77A95"/>
    <w:rsid w:val="00C801A6"/>
    <w:rsid w:val="00C801E6"/>
    <w:rsid w:val="00C80332"/>
    <w:rsid w:val="00C81784"/>
    <w:rsid w:val="00C82017"/>
    <w:rsid w:val="00CA089B"/>
    <w:rsid w:val="00CA178C"/>
    <w:rsid w:val="00CA4F40"/>
    <w:rsid w:val="00CA74C8"/>
    <w:rsid w:val="00CB07B1"/>
    <w:rsid w:val="00CB1334"/>
    <w:rsid w:val="00CB4095"/>
    <w:rsid w:val="00CB5DF9"/>
    <w:rsid w:val="00CC59FC"/>
    <w:rsid w:val="00CD11DF"/>
    <w:rsid w:val="00CD2434"/>
    <w:rsid w:val="00CD36F9"/>
    <w:rsid w:val="00CD7E7C"/>
    <w:rsid w:val="00CE2335"/>
    <w:rsid w:val="00CE6F8B"/>
    <w:rsid w:val="00CE7855"/>
    <w:rsid w:val="00CF29F8"/>
    <w:rsid w:val="00CF4772"/>
    <w:rsid w:val="00CF56D7"/>
    <w:rsid w:val="00CF5DED"/>
    <w:rsid w:val="00CF7096"/>
    <w:rsid w:val="00D05B90"/>
    <w:rsid w:val="00D0671A"/>
    <w:rsid w:val="00D07C4A"/>
    <w:rsid w:val="00D12129"/>
    <w:rsid w:val="00D12C87"/>
    <w:rsid w:val="00D132A3"/>
    <w:rsid w:val="00D13D79"/>
    <w:rsid w:val="00D15D86"/>
    <w:rsid w:val="00D167C2"/>
    <w:rsid w:val="00D16880"/>
    <w:rsid w:val="00D20BAB"/>
    <w:rsid w:val="00D20EC1"/>
    <w:rsid w:val="00D2390E"/>
    <w:rsid w:val="00D244B0"/>
    <w:rsid w:val="00D258EC"/>
    <w:rsid w:val="00D2648A"/>
    <w:rsid w:val="00D277AE"/>
    <w:rsid w:val="00D27E07"/>
    <w:rsid w:val="00D346C3"/>
    <w:rsid w:val="00D34A87"/>
    <w:rsid w:val="00D36E9E"/>
    <w:rsid w:val="00D463E7"/>
    <w:rsid w:val="00D5018D"/>
    <w:rsid w:val="00D5069F"/>
    <w:rsid w:val="00D5121A"/>
    <w:rsid w:val="00D5238E"/>
    <w:rsid w:val="00D5240E"/>
    <w:rsid w:val="00D53930"/>
    <w:rsid w:val="00D557CB"/>
    <w:rsid w:val="00D559B1"/>
    <w:rsid w:val="00D56134"/>
    <w:rsid w:val="00D56C9E"/>
    <w:rsid w:val="00D6370C"/>
    <w:rsid w:val="00D66EA3"/>
    <w:rsid w:val="00D70D54"/>
    <w:rsid w:val="00D71F9B"/>
    <w:rsid w:val="00D73607"/>
    <w:rsid w:val="00D73C00"/>
    <w:rsid w:val="00D81C9D"/>
    <w:rsid w:val="00D82233"/>
    <w:rsid w:val="00D86EED"/>
    <w:rsid w:val="00D9091A"/>
    <w:rsid w:val="00D94689"/>
    <w:rsid w:val="00DA18BB"/>
    <w:rsid w:val="00DA1A33"/>
    <w:rsid w:val="00DA6402"/>
    <w:rsid w:val="00DA67B7"/>
    <w:rsid w:val="00DA68BE"/>
    <w:rsid w:val="00DB15FD"/>
    <w:rsid w:val="00DB3104"/>
    <w:rsid w:val="00DC0C64"/>
    <w:rsid w:val="00DC116A"/>
    <w:rsid w:val="00DC259D"/>
    <w:rsid w:val="00DC3165"/>
    <w:rsid w:val="00DC47B7"/>
    <w:rsid w:val="00DC61FD"/>
    <w:rsid w:val="00DD38BA"/>
    <w:rsid w:val="00DD4B9A"/>
    <w:rsid w:val="00DD4EA2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E58"/>
    <w:rsid w:val="00E023E6"/>
    <w:rsid w:val="00E0328F"/>
    <w:rsid w:val="00E1012B"/>
    <w:rsid w:val="00E13004"/>
    <w:rsid w:val="00E163B7"/>
    <w:rsid w:val="00E166C6"/>
    <w:rsid w:val="00E210A2"/>
    <w:rsid w:val="00E23DD2"/>
    <w:rsid w:val="00E23E61"/>
    <w:rsid w:val="00E2607A"/>
    <w:rsid w:val="00E2668B"/>
    <w:rsid w:val="00E27321"/>
    <w:rsid w:val="00E275BF"/>
    <w:rsid w:val="00E31A56"/>
    <w:rsid w:val="00E34DB1"/>
    <w:rsid w:val="00E3685A"/>
    <w:rsid w:val="00E4249C"/>
    <w:rsid w:val="00E50A83"/>
    <w:rsid w:val="00E53944"/>
    <w:rsid w:val="00E53A2F"/>
    <w:rsid w:val="00E56A43"/>
    <w:rsid w:val="00E57ADA"/>
    <w:rsid w:val="00E6078D"/>
    <w:rsid w:val="00E61B2B"/>
    <w:rsid w:val="00E62B2C"/>
    <w:rsid w:val="00E632D5"/>
    <w:rsid w:val="00E6517D"/>
    <w:rsid w:val="00E65B57"/>
    <w:rsid w:val="00E6786C"/>
    <w:rsid w:val="00E7167E"/>
    <w:rsid w:val="00E754B1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A794A"/>
    <w:rsid w:val="00EB6AD7"/>
    <w:rsid w:val="00EB708F"/>
    <w:rsid w:val="00EC08CE"/>
    <w:rsid w:val="00EC1486"/>
    <w:rsid w:val="00EC3570"/>
    <w:rsid w:val="00EC5301"/>
    <w:rsid w:val="00EC5C76"/>
    <w:rsid w:val="00EC6D18"/>
    <w:rsid w:val="00ED0F3C"/>
    <w:rsid w:val="00ED19BF"/>
    <w:rsid w:val="00EE1284"/>
    <w:rsid w:val="00EE384A"/>
    <w:rsid w:val="00EE6EAB"/>
    <w:rsid w:val="00EF32E5"/>
    <w:rsid w:val="00EF4012"/>
    <w:rsid w:val="00EF4FB0"/>
    <w:rsid w:val="00F00032"/>
    <w:rsid w:val="00F02EB2"/>
    <w:rsid w:val="00F075ED"/>
    <w:rsid w:val="00F15183"/>
    <w:rsid w:val="00F15C67"/>
    <w:rsid w:val="00F161E8"/>
    <w:rsid w:val="00F2120C"/>
    <w:rsid w:val="00F22920"/>
    <w:rsid w:val="00F22CBB"/>
    <w:rsid w:val="00F24F61"/>
    <w:rsid w:val="00F30DE4"/>
    <w:rsid w:val="00F32253"/>
    <w:rsid w:val="00F32B36"/>
    <w:rsid w:val="00F36A97"/>
    <w:rsid w:val="00F45E5B"/>
    <w:rsid w:val="00F50207"/>
    <w:rsid w:val="00F52064"/>
    <w:rsid w:val="00F5517B"/>
    <w:rsid w:val="00F55501"/>
    <w:rsid w:val="00F60A52"/>
    <w:rsid w:val="00F64047"/>
    <w:rsid w:val="00F64172"/>
    <w:rsid w:val="00F6564F"/>
    <w:rsid w:val="00F66D44"/>
    <w:rsid w:val="00F67BE4"/>
    <w:rsid w:val="00F72D86"/>
    <w:rsid w:val="00F754A4"/>
    <w:rsid w:val="00F75DF7"/>
    <w:rsid w:val="00F81EDC"/>
    <w:rsid w:val="00F85D38"/>
    <w:rsid w:val="00F9005B"/>
    <w:rsid w:val="00F9090A"/>
    <w:rsid w:val="00F91178"/>
    <w:rsid w:val="00F96D9C"/>
    <w:rsid w:val="00FA1945"/>
    <w:rsid w:val="00FA49D3"/>
    <w:rsid w:val="00FA7E98"/>
    <w:rsid w:val="00FB09EA"/>
    <w:rsid w:val="00FB0E85"/>
    <w:rsid w:val="00FB1D2F"/>
    <w:rsid w:val="00FB43EB"/>
    <w:rsid w:val="00FB7039"/>
    <w:rsid w:val="00FC1373"/>
    <w:rsid w:val="00FC3897"/>
    <w:rsid w:val="00FD0513"/>
    <w:rsid w:val="00FD06EB"/>
    <w:rsid w:val="00FD3B79"/>
    <w:rsid w:val="00FD41B7"/>
    <w:rsid w:val="00FD5F46"/>
    <w:rsid w:val="00FD7A5A"/>
    <w:rsid w:val="00FE0694"/>
    <w:rsid w:val="00FE0711"/>
    <w:rsid w:val="00FE0E91"/>
    <w:rsid w:val="00FE114D"/>
    <w:rsid w:val="00FE1879"/>
    <w:rsid w:val="00FE2E67"/>
    <w:rsid w:val="00FE39D0"/>
    <w:rsid w:val="00FE3B74"/>
    <w:rsid w:val="00FE4AB6"/>
    <w:rsid w:val="00FE5835"/>
    <w:rsid w:val="00FE58EC"/>
    <w:rsid w:val="00FF102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7A1BE"/>
  <w15:docId w15:val="{187E0CAA-B9A5-4BAE-94FD-8392B8D4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TW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uiPriority w:val="34"/>
    <w:qFormat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A5A"/>
  </w:style>
  <w:style w:type="character" w:customStyle="1" w:styleId="TextkomenteChar">
    <w:name w:val="Text komentáře Char"/>
    <w:basedOn w:val="Standardnpsmoodstavce"/>
    <w:link w:val="Textkomente"/>
    <w:uiPriority w:val="99"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rPr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7A7F42"/>
    <w:rPr>
      <w:color w:val="800080"/>
      <w:spacing w:val="0"/>
    </w:rPr>
  </w:style>
  <w:style w:type="paragraph" w:customStyle="1" w:styleId="DocText">
    <w:name w:val="DocText"/>
    <w:basedOn w:val="Normln"/>
    <w:rsid w:val="007A7F42"/>
    <w:pPr>
      <w:numPr>
        <w:numId w:val="24"/>
      </w:numPr>
      <w:spacing w:before="240" w:line="260" w:lineRule="atLeast"/>
      <w:jc w:val="both"/>
    </w:pPr>
    <w:rPr>
      <w:rFonts w:eastAsiaTheme="minorHAnsi"/>
      <w:sz w:val="20"/>
      <w:szCs w:val="22"/>
      <w:lang w:val="en-GB" w:eastAsia="en-US"/>
    </w:rPr>
  </w:style>
  <w:style w:type="paragraph" w:customStyle="1" w:styleId="DocTextL1">
    <w:name w:val="DocTextL1"/>
    <w:basedOn w:val="DocText"/>
    <w:rsid w:val="007A7F42"/>
    <w:pPr>
      <w:numPr>
        <w:ilvl w:val="1"/>
      </w:numPr>
    </w:pPr>
  </w:style>
  <w:style w:type="paragraph" w:customStyle="1" w:styleId="DocTextL2">
    <w:name w:val="DocTextL2"/>
    <w:basedOn w:val="DocText"/>
    <w:rsid w:val="007A7F42"/>
    <w:pPr>
      <w:numPr>
        <w:ilvl w:val="2"/>
      </w:numPr>
    </w:pPr>
  </w:style>
  <w:style w:type="paragraph" w:customStyle="1" w:styleId="DocTextL3">
    <w:name w:val="DocTextL3"/>
    <w:basedOn w:val="DocText"/>
    <w:rsid w:val="007A7F42"/>
    <w:pPr>
      <w:numPr>
        <w:ilvl w:val="3"/>
      </w:numPr>
    </w:pPr>
  </w:style>
  <w:style w:type="paragraph" w:customStyle="1" w:styleId="DocTextL4">
    <w:name w:val="DocTextL4"/>
    <w:basedOn w:val="DocText"/>
    <w:rsid w:val="007A7F42"/>
    <w:pPr>
      <w:numPr>
        <w:ilvl w:val="4"/>
      </w:numPr>
    </w:pPr>
  </w:style>
  <w:style w:type="paragraph" w:customStyle="1" w:styleId="DocTextL5">
    <w:name w:val="DocTextL5"/>
    <w:basedOn w:val="DocText"/>
    <w:rsid w:val="007A7F42"/>
    <w:pPr>
      <w:numPr>
        <w:ilvl w:val="5"/>
      </w:numPr>
    </w:pPr>
  </w:style>
  <w:style w:type="paragraph" w:customStyle="1" w:styleId="DocTextL6">
    <w:name w:val="DocTextL6"/>
    <w:basedOn w:val="DocText"/>
    <w:rsid w:val="007A7F42"/>
    <w:pPr>
      <w:numPr>
        <w:ilvl w:val="6"/>
      </w:numPr>
    </w:pPr>
  </w:style>
  <w:style w:type="paragraph" w:customStyle="1" w:styleId="DocTextL7">
    <w:name w:val="DocTextL7"/>
    <w:basedOn w:val="DocText"/>
    <w:rsid w:val="007A7F42"/>
    <w:pPr>
      <w:numPr>
        <w:ilvl w:val="7"/>
      </w:numPr>
    </w:pPr>
  </w:style>
  <w:style w:type="paragraph" w:customStyle="1" w:styleId="DocTextL8">
    <w:name w:val="DocTextL8"/>
    <w:basedOn w:val="DocText"/>
    <w:rsid w:val="007A7F42"/>
    <w:pPr>
      <w:numPr>
        <w:ilvl w:val="8"/>
      </w:numPr>
    </w:pPr>
  </w:style>
  <w:style w:type="table" w:styleId="Mkatabulky">
    <w:name w:val="Table Grid"/>
    <w:basedOn w:val="Normlntabulka"/>
    <w:uiPriority w:val="39"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entNormal">
    <w:name w:val="ClientNormal"/>
    <w:link w:val="ClientNormalChar"/>
    <w:rsid w:val="00660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Cs w:val="22"/>
      <w:bdr w:val="none" w:sz="0" w:space="0" w:color="auto"/>
      <w:lang w:val="en-GB" w:eastAsia="en-US"/>
    </w:rPr>
  </w:style>
  <w:style w:type="character" w:customStyle="1" w:styleId="ClientNormalChar">
    <w:name w:val="ClientNormal Char"/>
    <w:basedOn w:val="Standardnpsmoodstavce"/>
    <w:link w:val="ClientNormal"/>
    <w:rsid w:val="00660EF7"/>
    <w:rPr>
      <w:rFonts w:eastAsiaTheme="minorHAnsi"/>
      <w:szCs w:val="22"/>
      <w:bdr w:val="none" w:sz="0" w:space="0" w:color="auto"/>
      <w:lang w:val="en-GB" w:eastAsia="en-US"/>
    </w:rPr>
  </w:style>
  <w:style w:type="paragraph" w:customStyle="1" w:styleId="paragraph">
    <w:name w:val="paragraph"/>
    <w:basedOn w:val="Normln"/>
    <w:rsid w:val="0046755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67558"/>
  </w:style>
  <w:style w:type="character" w:customStyle="1" w:styleId="tabchar">
    <w:name w:val="tabchar"/>
    <w:basedOn w:val="Standardnpsmoodstavce"/>
    <w:rsid w:val="00467558"/>
  </w:style>
  <w:style w:type="character" w:customStyle="1" w:styleId="eop">
    <w:name w:val="eop"/>
    <w:basedOn w:val="Standardnpsmoodstavce"/>
    <w:rsid w:val="0046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pova.klara@czg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2" ma:contentTypeDescription="Vytvoří nový dokument" ma:contentTypeScope="" ma:versionID="fbd49112fe92b85bb9fcd360736a1c99">
  <xsd:schema xmlns:xsd="http://www.w3.org/2001/XMLSchema" xmlns:xs="http://www.w3.org/2001/XMLSchema" xmlns:p="http://schemas.microsoft.com/office/2006/metadata/properties" xmlns:ns2="7be343bf-2700-4fce-b216-46e2e4feaa37" targetNamespace="http://schemas.microsoft.com/office/2006/metadata/properties" ma:root="true" ma:fieldsID="fa2ccafd27bbefdedbfc8e075d94363e" ns2:_="">
    <xsd:import namespace="7be343bf-2700-4fce-b216-46e2e4fe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B906A-5C4D-48D2-8CBA-B570ACC90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09BCF-CB0A-410D-AD52-1330D605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3</TotalTime>
  <Pages>4</Pages>
  <Words>1317</Words>
  <Characters>7772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Sipova Klara</dc:creator>
  <cp:lastModifiedBy>Kristýna Pavlačková</cp:lastModifiedBy>
  <cp:revision>4</cp:revision>
  <cp:lastPrinted>2021-05-25T16:56:00Z</cp:lastPrinted>
  <dcterms:created xsi:type="dcterms:W3CDTF">2021-11-24T13:33:00Z</dcterms:created>
  <dcterms:modified xsi:type="dcterms:W3CDTF">2021-11-24T20:13:00Z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