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BB5" w14:textId="453ABE49" w:rsidR="007A7F42" w:rsidRPr="007C0BEE" w:rsidRDefault="00FF5566" w:rsidP="007A7F42">
      <w:pPr>
        <w:spacing w:line="276" w:lineRule="auto"/>
        <w:jc w:val="right"/>
        <w:rPr>
          <w:rFonts w:ascii="Calibri" w:hAnsi="Calibri" w:cs="Calibri"/>
          <w:b/>
          <w:bCs/>
          <w:caps/>
          <w:sz w:val="20"/>
          <w:szCs w:val="20"/>
        </w:rPr>
      </w:pPr>
      <w:r w:rsidRPr="007C0BEE">
        <w:rPr>
          <w:rFonts w:ascii="Calibri" w:hAnsi="Calibri" w:cs="Calibri"/>
          <w:b/>
          <w:bCs/>
          <w:caps/>
          <w:sz w:val="20"/>
          <w:szCs w:val="20"/>
        </w:rPr>
        <w:t>Tisková zpráva</w:t>
      </w:r>
    </w:p>
    <w:p w14:paraId="32367917" w14:textId="4ABB8CFF" w:rsidR="007A7F42" w:rsidRPr="00D73C00" w:rsidRDefault="007A7F42" w:rsidP="007A7F42">
      <w:pPr>
        <w:spacing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181CE0B7" w14:textId="77777777" w:rsidR="00873AF5" w:rsidRPr="00D73C00" w:rsidRDefault="00873AF5" w:rsidP="007A7F42">
      <w:pPr>
        <w:spacing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6ED032E1" w14:textId="59C97121" w:rsidR="007A7F42" w:rsidRPr="00D73C00" w:rsidRDefault="007A7F42" w:rsidP="007A7F42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CZG – Česká zbrojovka Group SE </w:t>
      </w:r>
      <w:r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="00E01E58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>dosáhla v</w:t>
      </w:r>
      <w:r w:rsidR="00E50A83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 prvním čtvrtletí 2021 </w:t>
      </w:r>
      <w:r w:rsidR="00E01E58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výnosů </w:t>
      </w:r>
      <w:r w:rsidR="00B37ADE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v hodnotě </w:t>
      </w:r>
      <w:r w:rsidR="00E50A83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01E58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>miliard</w:t>
      </w:r>
      <w:r w:rsidR="00E50A83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>y</w:t>
      </w:r>
      <w:r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01E58" w:rsidRPr="00D73C00">
        <w:rPr>
          <w:rFonts w:ascii="Calibri" w:hAnsi="Calibri" w:cs="Calibri"/>
          <w:b/>
          <w:bCs/>
          <w:color w:val="000000" w:themeColor="text1"/>
          <w:sz w:val="22"/>
          <w:szCs w:val="22"/>
        </w:rPr>
        <w:t>korun</w:t>
      </w:r>
    </w:p>
    <w:p w14:paraId="443CE58A" w14:textId="2F7D061A" w:rsidR="007A7F42" w:rsidRPr="00D73C00" w:rsidRDefault="007A7F42" w:rsidP="007A7F4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4925D079" w14:textId="77777777" w:rsidR="00873AF5" w:rsidRPr="00D73C00" w:rsidRDefault="00873AF5" w:rsidP="007A7F4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F3EA616" w14:textId="77777777" w:rsidR="007A7F42" w:rsidRPr="00D73C00" w:rsidRDefault="007A7F42" w:rsidP="007A7F42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1769AB8" w14:textId="4CB007E2" w:rsidR="007A7F42" w:rsidRPr="00D73C00" w:rsidRDefault="00E01E58" w:rsidP="007A7F4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Praha</w:t>
      </w:r>
      <w:r w:rsidR="007A7F42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(</w:t>
      </w:r>
      <w:r w:rsidR="00E50A83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27</w:t>
      </w: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. </w:t>
      </w:r>
      <w:r w:rsidR="00E50A83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května</w:t>
      </w:r>
      <w:r w:rsidR="007A7F42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202</w:t>
      </w: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1</w:t>
      </w:r>
      <w:r w:rsidR="007A7F42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)</w:t>
      </w:r>
      <w:r w:rsidR="007A7F42"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 ― </w:t>
      </w:r>
      <w:r w:rsidR="00821B0E"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CZG - </w:t>
      </w:r>
      <w:r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Česká zbrojovka Group SE </w:t>
      </w:r>
      <w:r w:rsidR="00821B0E" w:rsidRPr="00D73C00">
        <w:rPr>
          <w:rFonts w:ascii="Calibri" w:hAnsi="Calibri" w:cs="Calibri"/>
          <w:color w:val="000000" w:themeColor="text1"/>
          <w:sz w:val="18"/>
          <w:szCs w:val="18"/>
        </w:rPr>
        <w:t>(„</w:t>
      </w:r>
      <w:r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CZG”, „Skupina“ nebo “Společnost”) dnes zveřejnila své konsolidované neauditované finanční výsledky za </w:t>
      </w:r>
      <w:r w:rsidR="00E50A83" w:rsidRPr="00D73C00">
        <w:rPr>
          <w:rFonts w:ascii="Calibri" w:hAnsi="Calibri" w:cs="Calibri"/>
          <w:color w:val="000000" w:themeColor="text1"/>
          <w:sz w:val="18"/>
          <w:szCs w:val="18"/>
        </w:rPr>
        <w:t>první tři měsíce</w:t>
      </w:r>
      <w:r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E50A83" w:rsidRPr="00D73C00">
        <w:rPr>
          <w:rFonts w:ascii="Calibri" w:hAnsi="Calibri" w:cs="Calibri"/>
          <w:color w:val="000000" w:themeColor="text1"/>
          <w:sz w:val="18"/>
          <w:szCs w:val="18"/>
        </w:rPr>
        <w:t>roku 2021</w:t>
      </w:r>
      <w:r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 končící </w:t>
      </w:r>
      <w:r w:rsidR="00E50A83" w:rsidRPr="00D73C00">
        <w:rPr>
          <w:rFonts w:ascii="Calibri" w:hAnsi="Calibri" w:cs="Calibri"/>
          <w:color w:val="000000" w:themeColor="text1"/>
          <w:sz w:val="18"/>
          <w:szCs w:val="18"/>
        </w:rPr>
        <w:t>31</w:t>
      </w:r>
      <w:r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  <w:r w:rsidR="00E50A83" w:rsidRPr="00D73C00">
        <w:rPr>
          <w:rFonts w:ascii="Calibri" w:hAnsi="Calibri" w:cs="Calibri"/>
          <w:color w:val="000000" w:themeColor="text1"/>
          <w:sz w:val="18"/>
          <w:szCs w:val="18"/>
        </w:rPr>
        <w:t>března</w:t>
      </w:r>
      <w:r w:rsidRPr="00D73C00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4E1A6114" w14:textId="77777777" w:rsidR="007A7F42" w:rsidRPr="00D73C00" w:rsidRDefault="007A7F42" w:rsidP="007A7F42">
      <w:pPr>
        <w:spacing w:line="276" w:lineRule="auto"/>
        <w:jc w:val="both"/>
        <w:rPr>
          <w:rFonts w:ascii="Calibri" w:eastAsiaTheme="minorHAnsi" w:hAnsi="Calibri" w:cs="Calibri"/>
          <w:b/>
          <w:bCs/>
          <w:i/>
          <w:iCs/>
          <w:color w:val="000000" w:themeColor="text1"/>
          <w:sz w:val="18"/>
          <w:szCs w:val="18"/>
          <w:lang w:eastAsia="en-US"/>
        </w:rPr>
      </w:pPr>
    </w:p>
    <w:p w14:paraId="1D34F54F" w14:textId="4C31A461" w:rsidR="00A66764" w:rsidRPr="00D73C00" w:rsidRDefault="003B3823" w:rsidP="00A66764">
      <w:pPr>
        <w:spacing w:line="276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Klíčové finanční údaje roku </w:t>
      </w:r>
      <w:r w:rsidR="00E50A83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za první čtvrtletí roku 2021:</w:t>
      </w:r>
    </w:p>
    <w:p w14:paraId="0864E1A3" w14:textId="76C641D3" w:rsidR="00770356" w:rsidRPr="00D73C00" w:rsidRDefault="003B3823" w:rsidP="000263F5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sz w:val="18"/>
          <w:szCs w:val="18"/>
          <w:lang w:val="cs-CZ"/>
        </w:rPr>
      </w:pP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Výnosy skupiny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v prvním čtvrtletí 2021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dosáhly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2</w:t>
      </w:r>
      <w:r w:rsidR="00F75DF7"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Pr="00D73C00">
        <w:rPr>
          <w:color w:val="000000" w:themeColor="text1"/>
          <w:w w:val="0"/>
          <w:sz w:val="18"/>
          <w:szCs w:val="18"/>
          <w:lang w:val="cs-CZ"/>
        </w:rPr>
        <w:t>miliard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y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korun</w:t>
      </w:r>
      <w:r w:rsidR="00770356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,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což je meziroční nárůst o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63,7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="000263F5" w:rsidRPr="00D73C00">
        <w:rPr>
          <w:rFonts w:eastAsia="Montserrat Light"/>
          <w:color w:val="000000" w:themeColor="text1"/>
          <w:sz w:val="18"/>
          <w:szCs w:val="18"/>
          <w:lang w:val="cs-CZ"/>
        </w:rPr>
        <w:t>%,</w:t>
      </w:r>
      <w:r w:rsidR="00770356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>zejména díky vyššímu počtu prodaných zbraní na základě vysoké poptávky po produktech CZG</w:t>
      </w:r>
      <w:r w:rsidR="00821B0E" w:rsidRPr="00D73C00">
        <w:rPr>
          <w:rFonts w:eastAsia="Montserrat Light"/>
          <w:color w:val="000000" w:themeColor="text1"/>
          <w:sz w:val="18"/>
          <w:szCs w:val="18"/>
          <w:lang w:val="cs-CZ"/>
        </w:rPr>
        <w:t>,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a to </w:t>
      </w:r>
      <w:r w:rsidR="00D73C00" w:rsidRPr="00D73C00">
        <w:rPr>
          <w:rFonts w:eastAsia="Montserrat Light"/>
          <w:color w:val="000000" w:themeColor="text1"/>
          <w:sz w:val="18"/>
          <w:szCs w:val="18"/>
          <w:lang w:val="cs-CZ"/>
        </w:rPr>
        <w:t>především ve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Spojených státech.  </w:t>
      </w:r>
    </w:p>
    <w:p w14:paraId="39D96B84" w14:textId="2EC512C4" w:rsidR="00D5018D" w:rsidRPr="00D73C00" w:rsidRDefault="003E6BD8" w:rsidP="000263F5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sz w:val="18"/>
          <w:szCs w:val="18"/>
          <w:lang w:val="cs-CZ"/>
        </w:rPr>
      </w:pP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Provozní výsledek hospodaření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v prvním čtvrtletí 2021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činil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334,9</w:t>
      </w:r>
      <w:r w:rsidR="00F75DF7"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Pr="00D73C00">
        <w:rPr>
          <w:color w:val="000000" w:themeColor="text1"/>
          <w:w w:val="0"/>
          <w:sz w:val="18"/>
          <w:szCs w:val="18"/>
          <w:lang w:val="cs-CZ"/>
        </w:rPr>
        <w:t>m</w:t>
      </w:r>
      <w:r w:rsidR="000263F5" w:rsidRPr="00D73C00">
        <w:rPr>
          <w:color w:val="000000" w:themeColor="text1"/>
          <w:w w:val="0"/>
          <w:sz w:val="18"/>
          <w:szCs w:val="18"/>
          <w:lang w:val="cs-CZ"/>
        </w:rPr>
        <w:t>il.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Kč</w:t>
      </w:r>
      <w:r w:rsidR="00D5018D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,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>o</w:t>
      </w:r>
      <w:r w:rsidR="00D5018D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216,6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="00D5018D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%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více nežli za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první čtvrtletí 2020</w:t>
      </w:r>
      <w:r w:rsidR="00821B0E" w:rsidRPr="00D73C00">
        <w:rPr>
          <w:rFonts w:eastAsia="Montserrat Light"/>
          <w:color w:val="000000" w:themeColor="text1"/>
          <w:sz w:val="18"/>
          <w:szCs w:val="18"/>
          <w:lang w:val="cs-CZ"/>
        </w:rPr>
        <w:t>, a to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na základě vyšších výnosů.</w:t>
      </w:r>
    </w:p>
    <w:p w14:paraId="02CF06AF" w14:textId="35E31108" w:rsidR="00B82677" w:rsidRPr="00D73C00" w:rsidRDefault="00B82677" w:rsidP="000263F5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sz w:val="18"/>
          <w:szCs w:val="18"/>
          <w:lang w:val="cs-CZ"/>
        </w:rPr>
      </w:pPr>
      <w:r w:rsidRPr="00D73C00">
        <w:rPr>
          <w:color w:val="000000" w:themeColor="text1"/>
          <w:w w:val="0"/>
          <w:sz w:val="18"/>
          <w:szCs w:val="18"/>
          <w:lang w:val="cs-CZ"/>
        </w:rPr>
        <w:t>EBITDA</w:t>
      </w:r>
      <w:r w:rsidRPr="00D73C00">
        <w:rPr>
          <w:rStyle w:val="Znakapoznpodarou"/>
          <w:color w:val="000000" w:themeColor="text1"/>
          <w:w w:val="0"/>
          <w:sz w:val="18"/>
          <w:szCs w:val="18"/>
          <w:lang w:val="cs-CZ"/>
        </w:rPr>
        <w:footnoteReference w:id="1"/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="003E6BD8" w:rsidRPr="00D73C00">
        <w:rPr>
          <w:color w:val="000000" w:themeColor="text1"/>
          <w:w w:val="0"/>
          <w:sz w:val="18"/>
          <w:szCs w:val="18"/>
          <w:lang w:val="cs-CZ"/>
        </w:rPr>
        <w:t xml:space="preserve">dosáhla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 xml:space="preserve">za první tři měsíce roku 2021 </w:t>
      </w:r>
      <w:r w:rsidR="00A344E2" w:rsidRPr="00D73C00">
        <w:rPr>
          <w:color w:val="000000" w:themeColor="text1"/>
          <w:w w:val="0"/>
          <w:sz w:val="18"/>
          <w:szCs w:val="18"/>
          <w:lang w:val="cs-CZ"/>
        </w:rPr>
        <w:t xml:space="preserve">výše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438,2</w:t>
      </w:r>
      <w:r w:rsidR="00F75DF7"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="00730EBD" w:rsidRPr="00D73C00">
        <w:rPr>
          <w:color w:val="000000" w:themeColor="text1"/>
          <w:w w:val="0"/>
          <w:sz w:val="18"/>
          <w:szCs w:val="18"/>
          <w:lang w:val="cs-CZ"/>
        </w:rPr>
        <w:t>m</w:t>
      </w:r>
      <w:r w:rsidR="000263F5" w:rsidRPr="00D73C00">
        <w:rPr>
          <w:color w:val="000000" w:themeColor="text1"/>
          <w:w w:val="0"/>
          <w:sz w:val="18"/>
          <w:szCs w:val="18"/>
          <w:lang w:val="cs-CZ"/>
        </w:rPr>
        <w:t>il.</w:t>
      </w:r>
      <w:r w:rsidR="00730EBD" w:rsidRPr="00D73C00">
        <w:rPr>
          <w:color w:val="000000" w:themeColor="text1"/>
          <w:w w:val="0"/>
          <w:sz w:val="18"/>
          <w:szCs w:val="18"/>
          <w:lang w:val="cs-CZ"/>
        </w:rPr>
        <w:t xml:space="preserve"> Kč</w:t>
      </w:r>
      <w:r w:rsidR="00A344E2" w:rsidRPr="00D73C00">
        <w:rPr>
          <w:color w:val="000000" w:themeColor="text1"/>
          <w:w w:val="0"/>
          <w:sz w:val="18"/>
          <w:szCs w:val="18"/>
          <w:lang w:val="cs-CZ"/>
        </w:rPr>
        <w:t xml:space="preserve">, tedy </w:t>
      </w:r>
      <w:r w:rsidR="00730EBD" w:rsidRPr="00D73C00">
        <w:rPr>
          <w:color w:val="000000" w:themeColor="text1"/>
          <w:w w:val="0"/>
          <w:sz w:val="18"/>
          <w:szCs w:val="18"/>
          <w:lang w:val="cs-CZ"/>
        </w:rPr>
        <w:t>o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117,4</w:t>
      </w:r>
      <w:r w:rsidR="000263F5" w:rsidRPr="00D73C00">
        <w:rPr>
          <w:color w:val="000000" w:themeColor="text1"/>
          <w:w w:val="0"/>
          <w:sz w:val="18"/>
          <w:szCs w:val="18"/>
          <w:lang w:val="cs-CZ"/>
        </w:rPr>
        <w:t xml:space="preserve"> %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  <w:r w:rsidR="00730EBD" w:rsidRPr="00D73C00">
        <w:rPr>
          <w:color w:val="000000" w:themeColor="text1"/>
          <w:w w:val="0"/>
          <w:sz w:val="18"/>
          <w:szCs w:val="18"/>
          <w:lang w:val="cs-CZ"/>
        </w:rPr>
        <w:t>meziročně více.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</w:t>
      </w:r>
    </w:p>
    <w:p w14:paraId="2625837C" w14:textId="4E01E8A9" w:rsidR="00424319" w:rsidRPr="00D73C00" w:rsidRDefault="00730EBD" w:rsidP="000263F5">
      <w:pPr>
        <w:pStyle w:val="Odstavecseseznamem"/>
        <w:numPr>
          <w:ilvl w:val="0"/>
          <w:numId w:val="23"/>
        </w:numPr>
        <w:rPr>
          <w:color w:val="000000" w:themeColor="text1"/>
          <w:w w:val="0"/>
          <w:sz w:val="18"/>
          <w:szCs w:val="18"/>
          <w:lang w:val="cs-CZ"/>
        </w:rPr>
      </w:pP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Počet prodaných zbraní se za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první tři měsíce roku 2021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zvýšil o 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58,3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% ve srovnání s</w:t>
      </w:r>
      <w:r w:rsidR="00E50A83" w:rsidRPr="00D73C00">
        <w:rPr>
          <w:color w:val="000000" w:themeColor="text1"/>
          <w:w w:val="0"/>
          <w:sz w:val="18"/>
          <w:szCs w:val="18"/>
          <w:lang w:val="cs-CZ"/>
        </w:rPr>
        <w:t> první kvartálem roku 2020</w:t>
      </w:r>
      <w:r w:rsidRPr="00D73C00">
        <w:rPr>
          <w:color w:val="000000" w:themeColor="text1"/>
          <w:w w:val="0"/>
          <w:sz w:val="18"/>
          <w:szCs w:val="18"/>
          <w:lang w:val="cs-CZ"/>
        </w:rPr>
        <w:t xml:space="preserve"> a dosáhl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137 083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</w:t>
      </w:r>
      <w:r w:rsidRPr="00D73C00">
        <w:rPr>
          <w:color w:val="000000" w:themeColor="text1"/>
          <w:w w:val="0"/>
          <w:sz w:val="18"/>
          <w:szCs w:val="18"/>
          <w:lang w:val="cs-CZ"/>
        </w:rPr>
        <w:t>prodaných kusů.</w:t>
      </w:r>
    </w:p>
    <w:p w14:paraId="2D53A633" w14:textId="309C1460" w:rsidR="00730EBD" w:rsidRPr="00D73C00" w:rsidRDefault="00730EBD" w:rsidP="000263F5">
      <w:pPr>
        <w:pStyle w:val="Odstavecseseznamem"/>
        <w:numPr>
          <w:ilvl w:val="0"/>
          <w:numId w:val="23"/>
        </w:numPr>
        <w:rPr>
          <w:rFonts w:eastAsia="Montserrat Light"/>
          <w:color w:val="000000" w:themeColor="text1"/>
          <w:sz w:val="18"/>
          <w:szCs w:val="18"/>
          <w:lang w:val="cs-CZ"/>
        </w:rPr>
      </w:pP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Výnosy v USA představovaly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67</w:t>
      </w:r>
      <w:r w:rsidR="0009411E" w:rsidRPr="00D73C00">
        <w:rPr>
          <w:rFonts w:eastAsia="Montserrat Light"/>
          <w:color w:val="000000" w:themeColor="text1"/>
          <w:sz w:val="18"/>
          <w:szCs w:val="18"/>
          <w:lang w:val="cs-CZ"/>
        </w:rPr>
        <w:t>,0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% podíl na celkových výnosech Skupiny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v prvním čtvrtletí 2021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, následovány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10,9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>% podílem v Evropě (bez ČR)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.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Podíl výnosů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z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Afriky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byl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8,9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%,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Asie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představovala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6,8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%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a 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zbytek světa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3,7</w:t>
      </w: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%. 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>Česká republika představovala v prvním čtvrtletí 2021 2,7 % podíl na celkových výnosech.</w:t>
      </w:r>
    </w:p>
    <w:p w14:paraId="08DA0CE6" w14:textId="59B5A6B2" w:rsidR="00E50A83" w:rsidRPr="00D73C00" w:rsidRDefault="00273B30" w:rsidP="000263F5">
      <w:pPr>
        <w:pStyle w:val="Odstavecseseznamem"/>
        <w:numPr>
          <w:ilvl w:val="0"/>
          <w:numId w:val="23"/>
        </w:numPr>
        <w:rPr>
          <w:rFonts w:eastAsia="Montserrat Light"/>
          <w:color w:val="000000" w:themeColor="text1"/>
          <w:sz w:val="18"/>
          <w:szCs w:val="18"/>
          <w:lang w:val="cs-CZ"/>
        </w:rPr>
      </w:pP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>Minulý týden Společnost úspěšně dokončila akvizici 100% podílu ve společnosti Colt Holding Company LLC</w:t>
      </w:r>
      <w:r w:rsidR="002D7501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(dále jen Colt)</w:t>
      </w:r>
      <w:r w:rsidR="00936093" w:rsidRPr="00D73C00">
        <w:rPr>
          <w:rFonts w:eastAsia="Montserrat Light"/>
          <w:color w:val="000000" w:themeColor="text1"/>
          <w:sz w:val="18"/>
          <w:szCs w:val="18"/>
          <w:lang w:val="cs-CZ"/>
        </w:rPr>
        <w:t>.</w:t>
      </w:r>
    </w:p>
    <w:p w14:paraId="7B29879B" w14:textId="66A46319" w:rsidR="005436BD" w:rsidRPr="00D73C00" w:rsidRDefault="00A33D93" w:rsidP="000263F5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sz w:val="18"/>
          <w:szCs w:val="18"/>
          <w:lang w:val="cs-CZ"/>
        </w:rPr>
      </w:pPr>
      <w:r w:rsidRPr="00D73C00">
        <w:rPr>
          <w:rFonts w:eastAsia="Montserrat Light"/>
          <w:color w:val="000000" w:themeColor="text1"/>
          <w:sz w:val="18"/>
          <w:szCs w:val="18"/>
          <w:lang w:val="cs-CZ"/>
        </w:rPr>
        <w:t>Nadcházející v</w:t>
      </w:r>
      <w:r w:rsidR="00E50A83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alná hromada Společnosti per rollam má jako jeden z bodů jednání </w:t>
      </w:r>
      <w:r w:rsidR="00730EBD" w:rsidRPr="00D73C00">
        <w:rPr>
          <w:rFonts w:eastAsia="Montserrat Light"/>
          <w:color w:val="000000" w:themeColor="text1"/>
          <w:sz w:val="18"/>
          <w:szCs w:val="18"/>
          <w:lang w:val="cs-CZ"/>
        </w:rPr>
        <w:t>Společnost schválení výplat</w:t>
      </w:r>
      <w:r w:rsidR="00273B30" w:rsidRPr="00D73C00">
        <w:rPr>
          <w:rFonts w:eastAsia="Montserrat Light"/>
          <w:color w:val="000000" w:themeColor="text1"/>
          <w:sz w:val="18"/>
          <w:szCs w:val="18"/>
          <w:lang w:val="cs-CZ"/>
        </w:rPr>
        <w:t>y</w:t>
      </w:r>
      <w:r w:rsidR="00730EBD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dividendy ve výši 7,5</w:t>
      </w:r>
      <w:r w:rsidR="00A344E2" w:rsidRPr="00D73C00">
        <w:rPr>
          <w:rFonts w:eastAsia="Montserrat Light"/>
          <w:color w:val="000000" w:themeColor="text1"/>
          <w:sz w:val="18"/>
          <w:szCs w:val="18"/>
          <w:lang w:val="cs-CZ"/>
        </w:rPr>
        <w:t>0</w:t>
      </w:r>
      <w:r w:rsidR="00730EBD" w:rsidRPr="00D73C00">
        <w:rPr>
          <w:rFonts w:eastAsia="Montserrat Light"/>
          <w:color w:val="000000" w:themeColor="text1"/>
          <w:sz w:val="18"/>
          <w:szCs w:val="18"/>
          <w:lang w:val="cs-CZ"/>
        </w:rPr>
        <w:t xml:space="preserve"> Kč na akcii</w:t>
      </w:r>
      <w:r w:rsidR="00F30DE4" w:rsidRPr="00D73C00">
        <w:rPr>
          <w:rFonts w:eastAsia="Montserrat Light"/>
          <w:color w:val="000000" w:themeColor="text1"/>
          <w:sz w:val="18"/>
          <w:szCs w:val="18"/>
          <w:lang w:val="cs-CZ"/>
        </w:rPr>
        <w:t>.</w:t>
      </w:r>
    </w:p>
    <w:p w14:paraId="35FF9C8A" w14:textId="77777777" w:rsidR="006C4FF6" w:rsidRPr="00D73C00" w:rsidRDefault="006C4FF6" w:rsidP="00631A4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73F7B203" w14:textId="0320529B" w:rsidR="007A7F42" w:rsidRPr="00D73C00" w:rsidRDefault="00821B0E" w:rsidP="00631A4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i/>
          <w:iCs/>
          <w:sz w:val="18"/>
          <w:szCs w:val="18"/>
        </w:rPr>
        <w:t xml:space="preserve">„Výsledky prvního čtvrtletí 2021 zřetelně ukazují, že strategie naší </w:t>
      </w:r>
      <w:r w:rsidR="00F52064" w:rsidRPr="00D73C00">
        <w:rPr>
          <w:rFonts w:ascii="Calibri" w:hAnsi="Calibri" w:cs="Calibri"/>
          <w:i/>
          <w:iCs/>
          <w:sz w:val="18"/>
          <w:szCs w:val="18"/>
        </w:rPr>
        <w:t>S</w:t>
      </w:r>
      <w:r w:rsidRPr="00D73C00">
        <w:rPr>
          <w:rFonts w:ascii="Calibri" w:hAnsi="Calibri" w:cs="Calibri"/>
          <w:i/>
          <w:iCs/>
          <w:sz w:val="18"/>
          <w:szCs w:val="18"/>
        </w:rPr>
        <w:t xml:space="preserve">kupiny, její produktový mix i cenová politika jsou správně nastaveny a přinášejí investorům dlouhodobý profit,” </w:t>
      </w:r>
      <w:r w:rsidRPr="00D73C00">
        <w:rPr>
          <w:rFonts w:ascii="Calibri" w:hAnsi="Calibri" w:cs="Calibri"/>
          <w:sz w:val="18"/>
          <w:szCs w:val="18"/>
        </w:rPr>
        <w:t>komentoval výsledky</w:t>
      </w:r>
      <w:r w:rsidRPr="00D73C00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31A42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Lubomír Kovařík, </w:t>
      </w:r>
      <w:r w:rsidR="00544402" w:rsidRPr="00D73C00">
        <w:rPr>
          <w:rFonts w:ascii="Calibri" w:hAnsi="Calibri" w:cs="Calibri"/>
          <w:b/>
          <w:bCs/>
          <w:color w:val="000000" w:themeColor="text1"/>
          <w:sz w:val="18"/>
          <w:szCs w:val="18"/>
        </w:rPr>
        <w:t>prezident a předseda představenstva CZG</w:t>
      </w:r>
      <w:r w:rsidR="00631A42"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„Druhou skvělou zprávou pro naše investory i zákazníky je dokončení akvizice společnosti Colt, díky níž se skupina CZG stává skutečně globálním hráčem,”</w:t>
      </w:r>
      <w:r w:rsidR="00BC19E7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F30DE4"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dodal </w:t>
      </w:r>
      <w:r w:rsidR="009613C0" w:rsidRPr="00D73C00">
        <w:rPr>
          <w:rFonts w:ascii="Calibri" w:hAnsi="Calibri" w:cs="Calibri"/>
          <w:color w:val="000000" w:themeColor="text1"/>
          <w:sz w:val="18"/>
          <w:szCs w:val="18"/>
        </w:rPr>
        <w:t>Lubomír</w:t>
      </w:r>
      <w:r w:rsidR="00631A42" w:rsidRPr="00D73C00">
        <w:rPr>
          <w:rFonts w:ascii="Calibri" w:hAnsi="Calibri" w:cs="Calibri"/>
          <w:color w:val="000000" w:themeColor="text1"/>
          <w:sz w:val="18"/>
          <w:szCs w:val="18"/>
        </w:rPr>
        <w:t xml:space="preserve"> Kovařík.</w:t>
      </w:r>
    </w:p>
    <w:p w14:paraId="7F13AF3C" w14:textId="77777777" w:rsidR="00631A42" w:rsidRPr="00D73C00" w:rsidRDefault="00631A42" w:rsidP="00770356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056CFA05" w14:textId="22A2F5C4" w:rsidR="00A344E2" w:rsidRPr="00D73C00" w:rsidRDefault="00A344E2" w:rsidP="00A344E2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  <w:t>Jan Drahota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  <w:t>místopředseda představenstva CZG,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 řekl: </w:t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„</w:t>
      </w:r>
      <w:r w:rsidR="00501BF3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Silné výsledky dosažené za první čtvrtletí </w:t>
      </w:r>
      <w:r w:rsidR="00776D66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letošního </w:t>
      </w:r>
      <w:r w:rsidR="00501BF3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roku a pokračující</w:t>
      </w:r>
      <w:r w:rsidR="00776D66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 dynamika obchodu</w:t>
      </w:r>
      <w:r w:rsidR="00501BF3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 ve druhém čtvrtletí nám umožnil</w:t>
      </w:r>
      <w:r w:rsidR="00496496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y</w:t>
      </w:r>
      <w:r w:rsidR="00501BF3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 vylepšit komunikovaný výhled hospodaření</w:t>
      </w:r>
      <w:r w:rsidR="00535F7E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,</w:t>
      </w:r>
      <w:r w:rsidR="00776D66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 a to i s ohledem na dokončení akvizice Colt</w:t>
      </w:r>
      <w:r w:rsidR="00F81EDC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u</w:t>
      </w:r>
      <w:r w:rsidR="00776D66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.</w:t>
      </w:r>
      <w:r w:rsidR="00501BF3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 Výsledky za první pololetí roku 2021</w:t>
      </w:r>
      <w:r w:rsidR="00776D66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501BF3"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již budou obsahovat rovněž výsledky hospodaření skupiny Colt od data akvizice.</w:t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</w:rPr>
        <w:t>”</w:t>
      </w:r>
    </w:p>
    <w:p w14:paraId="66865ED1" w14:textId="18800580" w:rsidR="00AF409F" w:rsidRPr="00D73C00" w:rsidRDefault="00AF409F" w:rsidP="00AF409F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025FB6CD" w14:textId="6D24DBA8" w:rsidR="00804CC6" w:rsidRPr="00D73C00" w:rsidRDefault="00F30DE4" w:rsidP="00AF409F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Výnosy</w:t>
      </w:r>
    </w:p>
    <w:p w14:paraId="1F007348" w14:textId="20C4897A" w:rsidR="00A66764" w:rsidRPr="00D73C00" w:rsidRDefault="00A66764" w:rsidP="009360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Výnosy skupiny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 prvním čtvrtletí 2021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dosáhly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2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miliard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y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korun, což je meziroční nárůst o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6</w:t>
      </w:r>
      <w:r w:rsidR="004573CE">
        <w:rPr>
          <w:rFonts w:ascii="Calibri" w:eastAsiaTheme="minorHAnsi" w:hAnsi="Calibri" w:cs="Calibri"/>
          <w:sz w:val="18"/>
          <w:szCs w:val="18"/>
          <w:lang w:eastAsia="en-US"/>
        </w:rPr>
        <w:t>3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,7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% z hodnoty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1,2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miliard v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 první</w:t>
      </w:r>
      <w:r w:rsidR="00821B0E" w:rsidRPr="00D73C00">
        <w:rPr>
          <w:rFonts w:ascii="Calibri" w:eastAsiaTheme="minorHAnsi" w:hAnsi="Calibri" w:cs="Calibri"/>
          <w:sz w:val="18"/>
          <w:szCs w:val="18"/>
          <w:lang w:eastAsia="en-US"/>
        </w:rPr>
        <w:t>m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čtvrtletí roku 2020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, zejména díky vyššímu počtu prodaných zbraní na základě vysoké poptávky po produktech CZG na všech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>hlavních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trzích</w:t>
      </w:r>
      <w:r w:rsidR="00821B0E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a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to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především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opět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ve Spojených státech.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Meziroční nárůst byl rovněž ovlivněn slabším prvním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lastRenderedPageBreak/>
        <w:t xml:space="preserve">čtvrtletím v roce 2020, kdy byly výnosy 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ovlivněny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první vlnou pandemie covid-19, jež nepříznivě 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dopadla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zejména 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na 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distribuční a logistické 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schopnosti</w:t>
      </w:r>
      <w:r w:rsidR="00273B3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dodávek zbraní koncovým zákazníkům na klíčových trzích.</w:t>
      </w:r>
    </w:p>
    <w:p w14:paraId="1EDEC584" w14:textId="77777777" w:rsidR="00A66764" w:rsidRPr="00D73C00" w:rsidRDefault="00A66764" w:rsidP="00A66764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bookmarkStart w:id="0" w:name="_Hlk67647981"/>
    </w:p>
    <w:p w14:paraId="3E194467" w14:textId="0390B9D0" w:rsidR="00424319" w:rsidRPr="00D73C00" w:rsidRDefault="00A66764" w:rsidP="00A66764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 regionálním rozdělení se </w:t>
      </w:r>
      <w:r w:rsidR="00273B30" w:rsidRPr="00D73C00">
        <w:rPr>
          <w:rFonts w:ascii="Calibri" w:eastAsia="Calibri" w:hAnsi="Calibri"/>
          <w:sz w:val="18"/>
          <w:szCs w:val="18"/>
          <w:lang w:eastAsia="en-US"/>
        </w:rPr>
        <w:t xml:space="preserve">v prvním čtvrtletí 2021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výnosy v ČR snížily o 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8,9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%, na 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55,7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mil. Kč. Tento výsledek byl způsoben zejména odkladem dodávek </w:t>
      </w:r>
      <w:r w:rsidR="00821B0E" w:rsidRPr="00D73C00">
        <w:rPr>
          <w:rFonts w:ascii="Calibri" w:eastAsiaTheme="minorHAnsi" w:hAnsi="Calibri" w:cs="Calibri"/>
          <w:sz w:val="18"/>
          <w:szCs w:val="18"/>
          <w:lang w:eastAsia="en-US"/>
        </w:rPr>
        <w:t>Armádě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 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Č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>R, kde Společnost očekává realizaci dodávek pod rámcovou smlouvou ve druhé polovině tohoto roku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. Příjmy ve Spojených státech vzrostly</w:t>
      </w:r>
      <w:r w:rsidR="0093609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v prvním čtvrtletí roku 2021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o 49,3 % na hodnotu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1 362,5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mil. Kč především díky nárůstu poptávky na komerčním trhu.</w:t>
      </w:r>
      <w:r w:rsidR="001F7060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Výnosy v Evropě 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>(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vyjma ČR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)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 prvním čtvrtletí roku 2021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vzrostly o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75,1 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>%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na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221,3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milion</w:t>
      </w:r>
      <w:r w:rsidR="00C57455" w:rsidRPr="00D73C00">
        <w:rPr>
          <w:rFonts w:ascii="Calibri" w:eastAsiaTheme="minorHAnsi" w:hAnsi="Calibri" w:cs="Calibri"/>
          <w:sz w:val="18"/>
          <w:szCs w:val="18"/>
          <w:lang w:eastAsia="en-US"/>
        </w:rPr>
        <w:t>u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0263F5" w:rsidRPr="00D73C00">
        <w:rPr>
          <w:rFonts w:ascii="Calibri" w:eastAsiaTheme="minorHAnsi" w:hAnsi="Calibri" w:cs="Calibri"/>
          <w:sz w:val="18"/>
          <w:szCs w:val="18"/>
          <w:lang w:eastAsia="en-US"/>
        </w:rPr>
        <w:t>Kč</w:t>
      </w:r>
      <w:r w:rsidR="00821B0E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a to zejména </w:t>
      </w:r>
      <w:r w:rsidR="00821B0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vlivem slabšího prvního kvartálu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loňského roku, kdy dodávky po Evropě byly zasaženy omezeními spojenými s pandemií covid-19</w:t>
      </w:r>
      <w:r w:rsidR="000263F5" w:rsidRPr="00D73C00">
        <w:rPr>
          <w:rFonts w:ascii="Calibri" w:eastAsiaTheme="minorHAnsi" w:hAnsi="Calibri" w:cs="Calibri"/>
          <w:sz w:val="18"/>
          <w:szCs w:val="18"/>
          <w:lang w:eastAsia="en-US"/>
        </w:rPr>
        <w:t>.</w:t>
      </w:r>
      <w:r w:rsidR="00011BC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Výnosy dosažené v Africe vzrostly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 prvním čtvrtletí roku 2021 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o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248,0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% na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181,4 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mil. Kč díky velkým dodávkám odběratelům z řad ozbrojených složek. Příjmy v Asii dosáhly </w:t>
      </w:r>
      <w:r w:rsidR="00821B0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 prvním čtvrtletí roku 2021 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výše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137,9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mil. Kč a zvýšily se o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193,4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% v důsledku nárůstu prodejů odběratelům z řad ozbrojených složek i </w:t>
      </w:r>
      <w:r w:rsidR="00E53944" w:rsidRPr="00D73C00">
        <w:rPr>
          <w:rFonts w:ascii="Calibri" w:eastAsiaTheme="minorHAnsi" w:hAnsi="Calibri" w:cs="Calibri"/>
          <w:sz w:val="18"/>
          <w:szCs w:val="18"/>
          <w:lang w:eastAsia="en-US"/>
        </w:rPr>
        <w:t>komerčním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zákazníkům.</w:t>
      </w:r>
    </w:p>
    <w:p w14:paraId="188EE4F2" w14:textId="233F62DA" w:rsidR="000263F5" w:rsidRPr="00D73C00" w:rsidRDefault="000263F5" w:rsidP="00A66764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51C00C60" w14:textId="16CE7D55" w:rsidR="00DD4EA2" w:rsidRPr="00D73C00" w:rsidRDefault="00535F7E" w:rsidP="00A66764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Přehled hlavních finančních ukazatelů</w:t>
      </w:r>
      <w:r w:rsidR="00B37ADE" w:rsidRPr="00D73C00">
        <w:rPr>
          <w:rFonts w:ascii="Calibri" w:eastAsiaTheme="minorHAnsi" w:hAnsi="Calibri" w:cs="Calibri"/>
          <w:sz w:val="18"/>
          <w:szCs w:val="18"/>
          <w:lang w:eastAsia="en-US"/>
        </w:rPr>
        <w:t>:</w:t>
      </w:r>
      <w:r w:rsidR="00DD4EA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3403"/>
        <w:gridCol w:w="2106"/>
        <w:gridCol w:w="1776"/>
        <w:gridCol w:w="1776"/>
      </w:tblGrid>
      <w:tr w:rsidR="00535F7E" w:rsidRPr="00D73C00" w14:paraId="5B51F0F3" w14:textId="21E26C98" w:rsidTr="0012423E">
        <w:trPr>
          <w:trHeight w:val="428"/>
        </w:trPr>
        <w:tc>
          <w:tcPr>
            <w:tcW w:w="1878" w:type="pct"/>
          </w:tcPr>
          <w:p w14:paraId="457B62C2" w14:textId="0DF8DFB3" w:rsidR="00535F7E" w:rsidRPr="00D73C00" w:rsidRDefault="00535F7E" w:rsidP="00243B74">
            <w:pPr>
              <w:pStyle w:val="ClientNormal"/>
              <w:spacing w:before="240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V tis. Kč</w:t>
            </w:r>
          </w:p>
        </w:tc>
        <w:tc>
          <w:tcPr>
            <w:tcW w:w="1162" w:type="pct"/>
            <w:vAlign w:val="center"/>
          </w:tcPr>
          <w:p w14:paraId="2988926B" w14:textId="77777777" w:rsidR="00535F7E" w:rsidRPr="00D73C00" w:rsidRDefault="00535F7E" w:rsidP="00D73C00">
            <w:pPr>
              <w:pStyle w:val="ClientNormal"/>
              <w:spacing w:before="24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1. čtvrtletí 2021</w:t>
            </w:r>
          </w:p>
        </w:tc>
        <w:tc>
          <w:tcPr>
            <w:tcW w:w="980" w:type="pct"/>
            <w:vAlign w:val="center"/>
          </w:tcPr>
          <w:p w14:paraId="1A0C0CC0" w14:textId="0481B338" w:rsidR="00535F7E" w:rsidRPr="00D73C00" w:rsidRDefault="00535F7E" w:rsidP="00D73C00">
            <w:pPr>
              <w:pStyle w:val="ClientNormal"/>
              <w:spacing w:before="24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1. čtvrtletí 2020</w:t>
            </w:r>
          </w:p>
        </w:tc>
        <w:tc>
          <w:tcPr>
            <w:tcW w:w="980" w:type="pct"/>
            <w:vAlign w:val="center"/>
          </w:tcPr>
          <w:p w14:paraId="066CBBB8" w14:textId="7C06A1A0" w:rsidR="00535F7E" w:rsidRPr="00D73C00" w:rsidRDefault="00535F7E" w:rsidP="00D73C00">
            <w:pPr>
              <w:pStyle w:val="ClientNormal"/>
              <w:spacing w:before="24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Změna v %</w:t>
            </w:r>
          </w:p>
        </w:tc>
      </w:tr>
      <w:tr w:rsidR="00535F7E" w:rsidRPr="00D73C00" w14:paraId="3A3410F9" w14:textId="146A33AD" w:rsidTr="0012423E">
        <w:trPr>
          <w:trHeight w:val="283"/>
        </w:trPr>
        <w:tc>
          <w:tcPr>
            <w:tcW w:w="1878" w:type="pct"/>
            <w:vAlign w:val="center"/>
          </w:tcPr>
          <w:p w14:paraId="719573E4" w14:textId="158B277B" w:rsidR="00535F7E" w:rsidRPr="00D73C00" w:rsidRDefault="00535F7E" w:rsidP="00205F0B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18"/>
                <w:lang w:val="cs-CZ"/>
              </w:rPr>
              <w:t>Výnosy</w:t>
            </w:r>
          </w:p>
        </w:tc>
        <w:tc>
          <w:tcPr>
            <w:tcW w:w="1162" w:type="pct"/>
            <w:vAlign w:val="center"/>
          </w:tcPr>
          <w:p w14:paraId="0D8BD4F6" w14:textId="560A9018" w:rsidR="00535F7E" w:rsidRPr="00D73C00" w:rsidRDefault="00535F7E" w:rsidP="00535F7E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2 033 760</w:t>
            </w:r>
          </w:p>
        </w:tc>
        <w:tc>
          <w:tcPr>
            <w:tcW w:w="980" w:type="pct"/>
            <w:vAlign w:val="center"/>
          </w:tcPr>
          <w:p w14:paraId="63A7DF72" w14:textId="17ACCE9D" w:rsidR="00535F7E" w:rsidRPr="0012423E" w:rsidRDefault="00535F7E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12423E">
              <w:rPr>
                <w:rFonts w:ascii="Calibri" w:eastAsia="Calibri" w:hAnsi="Calibri" w:cs="Calibri"/>
                <w:sz w:val="18"/>
                <w:szCs w:val="20"/>
                <w:lang w:val="cs-CZ"/>
              </w:rPr>
              <w:t>1 242 243</w:t>
            </w:r>
          </w:p>
        </w:tc>
        <w:tc>
          <w:tcPr>
            <w:tcW w:w="980" w:type="pct"/>
            <w:vAlign w:val="center"/>
          </w:tcPr>
          <w:p w14:paraId="494D1F4E" w14:textId="7239A4FB" w:rsidR="00535F7E" w:rsidRPr="00D73C00" w:rsidRDefault="00535F7E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eastAsia="Calibri" w:hAnsi="Calibri" w:cs="Calibri"/>
                <w:sz w:val="18"/>
                <w:szCs w:val="20"/>
                <w:lang w:val="cs-CZ"/>
              </w:rPr>
              <w:t>63,7%</w:t>
            </w:r>
          </w:p>
        </w:tc>
      </w:tr>
      <w:tr w:rsidR="00535F7E" w:rsidRPr="00D73C00" w14:paraId="65E5F1AE" w14:textId="2EB6DAAA" w:rsidTr="0012423E">
        <w:trPr>
          <w:trHeight w:val="283"/>
        </w:trPr>
        <w:tc>
          <w:tcPr>
            <w:tcW w:w="1878" w:type="pct"/>
            <w:vAlign w:val="center"/>
          </w:tcPr>
          <w:p w14:paraId="5DFA6530" w14:textId="4BD716FF" w:rsidR="00535F7E" w:rsidRPr="00D73C00" w:rsidRDefault="00535F7E" w:rsidP="00205F0B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18"/>
                <w:lang w:val="cs-CZ"/>
              </w:rPr>
              <w:t>Provozní zisk</w:t>
            </w:r>
          </w:p>
        </w:tc>
        <w:tc>
          <w:tcPr>
            <w:tcW w:w="1162" w:type="pct"/>
            <w:vAlign w:val="center"/>
          </w:tcPr>
          <w:p w14:paraId="6A08BF59" w14:textId="3293C84C" w:rsidR="00535F7E" w:rsidRPr="00D73C00" w:rsidRDefault="00535F7E" w:rsidP="00535F7E">
            <w:pPr>
              <w:pStyle w:val="ClientNormal"/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334 926</w:t>
            </w:r>
          </w:p>
        </w:tc>
        <w:tc>
          <w:tcPr>
            <w:tcW w:w="980" w:type="pct"/>
            <w:vAlign w:val="center"/>
          </w:tcPr>
          <w:p w14:paraId="195ED389" w14:textId="19C6A7E6" w:rsidR="00535F7E" w:rsidRPr="0012423E" w:rsidRDefault="00535F7E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12423E">
              <w:rPr>
                <w:rFonts w:ascii="Calibri" w:eastAsia="Calibri" w:hAnsi="Calibri" w:cs="Calibri"/>
                <w:sz w:val="18"/>
                <w:szCs w:val="20"/>
                <w:lang w:val="cs-CZ"/>
              </w:rPr>
              <w:t>105 793</w:t>
            </w:r>
          </w:p>
        </w:tc>
        <w:tc>
          <w:tcPr>
            <w:tcW w:w="980" w:type="pct"/>
            <w:vAlign w:val="center"/>
          </w:tcPr>
          <w:p w14:paraId="37EF71BE" w14:textId="287B1849" w:rsidR="00535F7E" w:rsidRPr="00D73C00" w:rsidRDefault="00D73C00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eastAsia="Calibri" w:hAnsi="Calibri" w:cs="Calibri"/>
                <w:sz w:val="18"/>
                <w:szCs w:val="20"/>
                <w:lang w:val="cs-CZ"/>
              </w:rPr>
              <w:t>216,6%</w:t>
            </w:r>
          </w:p>
        </w:tc>
      </w:tr>
      <w:tr w:rsidR="00535F7E" w:rsidRPr="00D73C00" w14:paraId="0C3810A2" w14:textId="77EB5286" w:rsidTr="0012423E">
        <w:trPr>
          <w:trHeight w:val="283"/>
        </w:trPr>
        <w:tc>
          <w:tcPr>
            <w:tcW w:w="1878" w:type="pct"/>
            <w:vAlign w:val="center"/>
          </w:tcPr>
          <w:p w14:paraId="472FABE7" w14:textId="3B9A031D" w:rsidR="00535F7E" w:rsidRPr="00D73C00" w:rsidRDefault="00535F7E" w:rsidP="00205F0B">
            <w:pPr>
              <w:pStyle w:val="ClientNormal"/>
              <w:tabs>
                <w:tab w:val="left" w:leader="dot" w:pos="5264"/>
              </w:tabs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18"/>
                <w:lang w:val="cs-CZ"/>
              </w:rPr>
              <w:t>Výsledek hospodaření před zdaněním</w:t>
            </w:r>
          </w:p>
        </w:tc>
        <w:tc>
          <w:tcPr>
            <w:tcW w:w="1162" w:type="pct"/>
            <w:vAlign w:val="center"/>
          </w:tcPr>
          <w:p w14:paraId="0AE286BA" w14:textId="37A38F9F" w:rsidR="00535F7E" w:rsidRPr="00D73C00" w:rsidRDefault="00535F7E" w:rsidP="00535F7E">
            <w:pPr>
              <w:pStyle w:val="ClientNormal"/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361 602</w:t>
            </w:r>
          </w:p>
        </w:tc>
        <w:tc>
          <w:tcPr>
            <w:tcW w:w="980" w:type="pct"/>
            <w:vAlign w:val="center"/>
          </w:tcPr>
          <w:p w14:paraId="0CC5681E" w14:textId="5AE5060E" w:rsidR="00535F7E" w:rsidRPr="0012423E" w:rsidRDefault="00535F7E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12423E">
              <w:rPr>
                <w:rFonts w:ascii="Calibri" w:eastAsia="Calibri" w:hAnsi="Calibri" w:cs="Calibri"/>
                <w:sz w:val="18"/>
                <w:szCs w:val="20"/>
                <w:lang w:val="cs-CZ"/>
              </w:rPr>
              <w:t>-66 339</w:t>
            </w:r>
          </w:p>
        </w:tc>
        <w:tc>
          <w:tcPr>
            <w:tcW w:w="980" w:type="pct"/>
            <w:vAlign w:val="center"/>
          </w:tcPr>
          <w:p w14:paraId="19C9C9FB" w14:textId="7E8BA9B5" w:rsidR="00535F7E" w:rsidRPr="00D73C00" w:rsidRDefault="00FE4AB6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eastAsia="Calibri" w:hAnsi="Calibri" w:cs="Calibri"/>
                <w:sz w:val="18"/>
                <w:szCs w:val="20"/>
                <w:lang w:val="cs-CZ"/>
              </w:rPr>
              <w:t>n/a</w:t>
            </w:r>
          </w:p>
        </w:tc>
      </w:tr>
      <w:tr w:rsidR="00535F7E" w:rsidRPr="00D73C00" w14:paraId="4DEC3284" w14:textId="6D5659DA" w:rsidTr="0012423E">
        <w:trPr>
          <w:trHeight w:val="283"/>
        </w:trPr>
        <w:tc>
          <w:tcPr>
            <w:tcW w:w="1878" w:type="pct"/>
            <w:vAlign w:val="center"/>
          </w:tcPr>
          <w:p w14:paraId="45FAF571" w14:textId="5E77D2E9" w:rsidR="00535F7E" w:rsidRPr="00D73C00" w:rsidRDefault="00535F7E" w:rsidP="00D73C00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b/>
                <w:bCs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b/>
                <w:bCs/>
                <w:sz w:val="18"/>
                <w:szCs w:val="18"/>
                <w:lang w:val="cs-CZ"/>
              </w:rPr>
              <w:t>Zisk za období po zdanění</w:t>
            </w:r>
          </w:p>
        </w:tc>
        <w:tc>
          <w:tcPr>
            <w:tcW w:w="1162" w:type="pct"/>
            <w:vAlign w:val="center"/>
          </w:tcPr>
          <w:p w14:paraId="47A6D4C1" w14:textId="0F4D155D" w:rsidR="00535F7E" w:rsidRPr="00D73C00" w:rsidRDefault="00535F7E" w:rsidP="00FE4AB6">
            <w:pPr>
              <w:pStyle w:val="ClientNormal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275 642</w:t>
            </w:r>
          </w:p>
        </w:tc>
        <w:tc>
          <w:tcPr>
            <w:tcW w:w="980" w:type="pct"/>
            <w:vAlign w:val="center"/>
          </w:tcPr>
          <w:p w14:paraId="0A53DA59" w14:textId="45AAD7F1" w:rsidR="00535F7E" w:rsidRPr="00D73C00" w:rsidRDefault="00535F7E" w:rsidP="004573CE">
            <w:pPr>
              <w:pStyle w:val="ClientNormal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-59 108</w:t>
            </w:r>
          </w:p>
        </w:tc>
        <w:tc>
          <w:tcPr>
            <w:tcW w:w="980" w:type="pct"/>
            <w:vAlign w:val="center"/>
          </w:tcPr>
          <w:p w14:paraId="24C1FED3" w14:textId="26D52CB8" w:rsidR="00535F7E" w:rsidRPr="00D73C00" w:rsidRDefault="00FE4AB6" w:rsidP="004573CE">
            <w:pPr>
              <w:pStyle w:val="ClientNormal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n/a</w:t>
            </w:r>
          </w:p>
        </w:tc>
      </w:tr>
    </w:tbl>
    <w:p w14:paraId="72152D70" w14:textId="10ABD4C3" w:rsidR="001F7060" w:rsidRPr="00D73C00" w:rsidRDefault="001F7060" w:rsidP="001F7060">
      <w:pPr>
        <w:pStyle w:val="DocText"/>
        <w:rPr>
          <w:rFonts w:ascii="Calibri" w:eastAsia="Calibri" w:hAnsi="Calibri"/>
          <w:sz w:val="18"/>
          <w:szCs w:val="18"/>
          <w:lang w:val="cs-CZ"/>
        </w:rPr>
      </w:pPr>
      <w:r w:rsidRPr="00D73C00">
        <w:rPr>
          <w:rFonts w:ascii="Calibri" w:eastAsia="Calibri" w:hAnsi="Calibri"/>
          <w:sz w:val="18"/>
          <w:szCs w:val="18"/>
          <w:lang w:val="cs-CZ"/>
        </w:rPr>
        <w:t>Tabulka rozdělení příjmů Skupiny ve sledovaných obdobích podle regionu: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2105"/>
        <w:gridCol w:w="1781"/>
        <w:gridCol w:w="1777"/>
      </w:tblGrid>
      <w:tr w:rsidR="00F81EDC" w:rsidRPr="00D73C00" w14:paraId="6A48E87D" w14:textId="77777777" w:rsidTr="00F81EDC">
        <w:trPr>
          <w:trHeight w:val="428"/>
        </w:trPr>
        <w:tc>
          <w:tcPr>
            <w:tcW w:w="1877" w:type="pct"/>
          </w:tcPr>
          <w:p w14:paraId="5BEADC9C" w14:textId="77777777" w:rsidR="00F81EDC" w:rsidRPr="00D73C00" w:rsidRDefault="00F81EDC" w:rsidP="00592ACA">
            <w:pPr>
              <w:pStyle w:val="ClientNormal"/>
              <w:spacing w:before="240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V tis. Kč</w:t>
            </w:r>
          </w:p>
        </w:tc>
        <w:tc>
          <w:tcPr>
            <w:tcW w:w="1161" w:type="pct"/>
            <w:vAlign w:val="center"/>
          </w:tcPr>
          <w:p w14:paraId="5C1E3FC3" w14:textId="77777777" w:rsidR="00F81EDC" w:rsidRPr="00D73C00" w:rsidRDefault="00F81EDC" w:rsidP="00592ACA">
            <w:pPr>
              <w:pStyle w:val="ClientNormal"/>
              <w:spacing w:before="24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1. čtvrtletí 2021</w:t>
            </w:r>
          </w:p>
        </w:tc>
        <w:tc>
          <w:tcPr>
            <w:tcW w:w="982" w:type="pct"/>
            <w:vAlign w:val="center"/>
          </w:tcPr>
          <w:p w14:paraId="0F80F5AF" w14:textId="77777777" w:rsidR="00F81EDC" w:rsidRPr="00D73C00" w:rsidRDefault="00F81EDC" w:rsidP="00592ACA">
            <w:pPr>
              <w:pStyle w:val="ClientNormal"/>
              <w:spacing w:before="24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1. čtvrtletí 2020</w:t>
            </w:r>
          </w:p>
        </w:tc>
        <w:tc>
          <w:tcPr>
            <w:tcW w:w="980" w:type="pct"/>
            <w:vAlign w:val="center"/>
          </w:tcPr>
          <w:p w14:paraId="615DE5E2" w14:textId="77777777" w:rsidR="00F81EDC" w:rsidRPr="00D73C00" w:rsidRDefault="00F81EDC" w:rsidP="00592ACA">
            <w:pPr>
              <w:pStyle w:val="ClientNormal"/>
              <w:spacing w:before="24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Změna v %</w:t>
            </w:r>
          </w:p>
        </w:tc>
      </w:tr>
      <w:tr w:rsidR="00E53944" w:rsidRPr="00D73C00" w14:paraId="57B2B3F5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6F095F63" w14:textId="0944C7A4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ČR</w:t>
            </w:r>
          </w:p>
        </w:tc>
        <w:tc>
          <w:tcPr>
            <w:tcW w:w="1161" w:type="pct"/>
            <w:vAlign w:val="center"/>
          </w:tcPr>
          <w:p w14:paraId="559D3ECB" w14:textId="44559969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55 690</w:t>
            </w:r>
          </w:p>
        </w:tc>
        <w:tc>
          <w:tcPr>
            <w:tcW w:w="982" w:type="pct"/>
            <w:vAlign w:val="center"/>
          </w:tcPr>
          <w:p w14:paraId="0C7EC5E5" w14:textId="6A816090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61 156</w:t>
            </w:r>
          </w:p>
        </w:tc>
        <w:tc>
          <w:tcPr>
            <w:tcW w:w="980" w:type="pct"/>
            <w:vAlign w:val="center"/>
          </w:tcPr>
          <w:p w14:paraId="767A94FD" w14:textId="4BFF0DB7" w:rsidR="00E53944" w:rsidRPr="00D73C00" w:rsidRDefault="00E53944" w:rsidP="00E53944">
            <w:pPr>
              <w:pStyle w:val="ClientNormal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-8,9%</w:t>
            </w:r>
          </w:p>
        </w:tc>
      </w:tr>
      <w:tr w:rsidR="00E53944" w:rsidRPr="00D73C00" w14:paraId="1023AC14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7DAE9631" w14:textId="202597D8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USA</w:t>
            </w:r>
          </w:p>
        </w:tc>
        <w:tc>
          <w:tcPr>
            <w:tcW w:w="1161" w:type="pct"/>
            <w:vAlign w:val="center"/>
          </w:tcPr>
          <w:p w14:paraId="2DC4CDFD" w14:textId="3013F74B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1 362 462</w:t>
            </w:r>
          </w:p>
        </w:tc>
        <w:tc>
          <w:tcPr>
            <w:tcW w:w="982" w:type="pct"/>
            <w:vAlign w:val="center"/>
          </w:tcPr>
          <w:p w14:paraId="721F23DF" w14:textId="5C30DCB8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912 705</w:t>
            </w:r>
          </w:p>
        </w:tc>
        <w:tc>
          <w:tcPr>
            <w:tcW w:w="980" w:type="pct"/>
            <w:vAlign w:val="center"/>
          </w:tcPr>
          <w:p w14:paraId="2FB00E5C" w14:textId="1D49665A" w:rsidR="00E53944" w:rsidRPr="00D73C00" w:rsidRDefault="00E53944" w:rsidP="00E53944">
            <w:pPr>
              <w:pStyle w:val="ClientNormal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49,3%</w:t>
            </w:r>
          </w:p>
        </w:tc>
      </w:tr>
      <w:tr w:rsidR="00E53944" w:rsidRPr="00D73C00" w14:paraId="32B7AC80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438D27C6" w14:textId="5595BC4C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Evropa (vyjma ČR)</w:t>
            </w:r>
          </w:p>
        </w:tc>
        <w:tc>
          <w:tcPr>
            <w:tcW w:w="1161" w:type="pct"/>
            <w:vAlign w:val="center"/>
          </w:tcPr>
          <w:p w14:paraId="193BACBA" w14:textId="4A20403C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221 285</w:t>
            </w:r>
          </w:p>
        </w:tc>
        <w:tc>
          <w:tcPr>
            <w:tcW w:w="982" w:type="pct"/>
            <w:vAlign w:val="center"/>
          </w:tcPr>
          <w:p w14:paraId="215E0E39" w14:textId="1302E1FD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126 376</w:t>
            </w:r>
          </w:p>
        </w:tc>
        <w:tc>
          <w:tcPr>
            <w:tcW w:w="980" w:type="pct"/>
            <w:vAlign w:val="center"/>
          </w:tcPr>
          <w:p w14:paraId="30547275" w14:textId="22C22BD6" w:rsidR="00E53944" w:rsidRPr="00D73C00" w:rsidRDefault="00E53944" w:rsidP="00E53944">
            <w:pPr>
              <w:pStyle w:val="ClientNormal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75,1%</w:t>
            </w:r>
          </w:p>
        </w:tc>
      </w:tr>
      <w:tr w:rsidR="00E53944" w:rsidRPr="00D73C00" w14:paraId="55A28F2E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4B61749B" w14:textId="7877BA41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Afrika</w:t>
            </w:r>
          </w:p>
        </w:tc>
        <w:tc>
          <w:tcPr>
            <w:tcW w:w="1161" w:type="pct"/>
            <w:vAlign w:val="center"/>
          </w:tcPr>
          <w:p w14:paraId="74C32A6F" w14:textId="74DAFF80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181 419</w:t>
            </w:r>
          </w:p>
        </w:tc>
        <w:tc>
          <w:tcPr>
            <w:tcW w:w="982" w:type="pct"/>
            <w:vAlign w:val="center"/>
          </w:tcPr>
          <w:p w14:paraId="7E3FD324" w14:textId="6B66028F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52 125</w:t>
            </w:r>
          </w:p>
        </w:tc>
        <w:tc>
          <w:tcPr>
            <w:tcW w:w="980" w:type="pct"/>
            <w:vAlign w:val="center"/>
          </w:tcPr>
          <w:p w14:paraId="7193FECA" w14:textId="5A1F9AA0" w:rsidR="00E53944" w:rsidRPr="00D73C00" w:rsidRDefault="00E53944" w:rsidP="00E53944">
            <w:pPr>
              <w:pStyle w:val="ClientNormal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248,0%</w:t>
            </w:r>
          </w:p>
        </w:tc>
      </w:tr>
      <w:tr w:rsidR="00E53944" w:rsidRPr="00D73C00" w14:paraId="131AB9C1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585BC508" w14:textId="1BCC55A5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Asie</w:t>
            </w:r>
          </w:p>
        </w:tc>
        <w:tc>
          <w:tcPr>
            <w:tcW w:w="1161" w:type="pct"/>
            <w:vAlign w:val="center"/>
          </w:tcPr>
          <w:p w14:paraId="53A29E45" w14:textId="6C4EF338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137 949</w:t>
            </w:r>
          </w:p>
        </w:tc>
        <w:tc>
          <w:tcPr>
            <w:tcW w:w="982" w:type="pct"/>
            <w:vAlign w:val="center"/>
          </w:tcPr>
          <w:p w14:paraId="209E9928" w14:textId="300A997D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47 012</w:t>
            </w:r>
          </w:p>
        </w:tc>
        <w:tc>
          <w:tcPr>
            <w:tcW w:w="980" w:type="pct"/>
            <w:vAlign w:val="center"/>
          </w:tcPr>
          <w:p w14:paraId="7F665012" w14:textId="6D9438D2" w:rsidR="00E53944" w:rsidRPr="00D73C00" w:rsidRDefault="00E53944" w:rsidP="00E53944">
            <w:pPr>
              <w:pStyle w:val="ClientNormal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193,4%</w:t>
            </w:r>
          </w:p>
        </w:tc>
      </w:tr>
      <w:tr w:rsidR="00E53944" w:rsidRPr="00D73C00" w14:paraId="696DB9DE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0354D44B" w14:textId="1A704779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Ostatní</w:t>
            </w:r>
          </w:p>
        </w:tc>
        <w:tc>
          <w:tcPr>
            <w:tcW w:w="1161" w:type="pct"/>
            <w:vAlign w:val="center"/>
          </w:tcPr>
          <w:p w14:paraId="6860F70B" w14:textId="3FA445B6" w:rsidR="00E53944" w:rsidRPr="00D73C00" w:rsidRDefault="00E53944" w:rsidP="00E53944">
            <w:pPr>
              <w:pStyle w:val="ClientNormal"/>
              <w:pBdr>
                <w:bottom w:val="single" w:sz="4" w:space="1" w:color="auto"/>
              </w:pBdr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74 955</w:t>
            </w:r>
          </w:p>
        </w:tc>
        <w:tc>
          <w:tcPr>
            <w:tcW w:w="982" w:type="pct"/>
            <w:vAlign w:val="center"/>
          </w:tcPr>
          <w:p w14:paraId="6AF24ADF" w14:textId="58310834" w:rsidR="00E53944" w:rsidRPr="00D73C00" w:rsidRDefault="00E53944" w:rsidP="00E53944">
            <w:pPr>
              <w:pStyle w:val="ClientNormal"/>
              <w:pBdr>
                <w:bottom w:val="single" w:sz="4" w:space="1" w:color="auto"/>
              </w:pBdr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42 868</w:t>
            </w:r>
          </w:p>
        </w:tc>
        <w:tc>
          <w:tcPr>
            <w:tcW w:w="980" w:type="pct"/>
            <w:vAlign w:val="center"/>
          </w:tcPr>
          <w:p w14:paraId="6C2F30BD" w14:textId="5122F6DD" w:rsidR="00E53944" w:rsidRPr="00D73C00" w:rsidRDefault="00E53944" w:rsidP="00E53944">
            <w:pPr>
              <w:pStyle w:val="ClientNormal"/>
              <w:pBdr>
                <w:bottom w:val="single" w:sz="4" w:space="1" w:color="auto"/>
              </w:pBd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color w:val="000000"/>
                <w:sz w:val="18"/>
                <w:szCs w:val="18"/>
              </w:rPr>
              <w:t>74,9%</w:t>
            </w:r>
          </w:p>
        </w:tc>
      </w:tr>
      <w:tr w:rsidR="00E53944" w:rsidRPr="00D73C00" w14:paraId="38FB2233" w14:textId="77777777" w:rsidTr="00F81EDC">
        <w:trPr>
          <w:trHeight w:val="283"/>
        </w:trPr>
        <w:tc>
          <w:tcPr>
            <w:tcW w:w="1877" w:type="pct"/>
            <w:vAlign w:val="bottom"/>
          </w:tcPr>
          <w:p w14:paraId="3180798D" w14:textId="4353940E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eastAsia="Calibri" w:hAnsi="Calibri"/>
                <w:b/>
                <w:bCs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b/>
                <w:bCs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1161" w:type="pct"/>
            <w:vAlign w:val="center"/>
          </w:tcPr>
          <w:p w14:paraId="28C3F263" w14:textId="282D0E76" w:rsidR="00E53944" w:rsidRPr="00D73C00" w:rsidRDefault="00E53944" w:rsidP="00E53944">
            <w:pPr>
              <w:pStyle w:val="ClientNormal"/>
              <w:pBdr>
                <w:bottom w:val="double" w:sz="4" w:space="1" w:color="auto"/>
              </w:pBdr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2 033 760</w:t>
            </w:r>
          </w:p>
        </w:tc>
        <w:tc>
          <w:tcPr>
            <w:tcW w:w="982" w:type="pct"/>
            <w:vAlign w:val="center"/>
          </w:tcPr>
          <w:p w14:paraId="0036837B" w14:textId="6F9DA31B" w:rsidR="00E53944" w:rsidRPr="00D73C00" w:rsidRDefault="00E53944" w:rsidP="00E53944">
            <w:pPr>
              <w:pStyle w:val="ClientNormal"/>
              <w:pBdr>
                <w:bottom w:val="double" w:sz="4" w:space="1" w:color="auto"/>
              </w:pBdr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1 242 242</w:t>
            </w:r>
          </w:p>
        </w:tc>
        <w:tc>
          <w:tcPr>
            <w:tcW w:w="980" w:type="pct"/>
            <w:vAlign w:val="center"/>
          </w:tcPr>
          <w:p w14:paraId="465EAC0C" w14:textId="5DB3E3A1" w:rsidR="00E53944" w:rsidRPr="00D73C00" w:rsidRDefault="00E53944" w:rsidP="00E53944">
            <w:pPr>
              <w:pStyle w:val="ClientNormal"/>
              <w:pBdr>
                <w:bottom w:val="double" w:sz="4" w:space="1" w:color="auto"/>
              </w:pBd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3C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63,7%</w:t>
            </w:r>
          </w:p>
        </w:tc>
      </w:tr>
    </w:tbl>
    <w:bookmarkEnd w:id="0"/>
    <w:p w14:paraId="66D9B904" w14:textId="08A13A30" w:rsidR="00FA49D3" w:rsidRPr="00D73C00" w:rsidRDefault="001F7060" w:rsidP="002F1246">
      <w:pPr>
        <w:numPr>
          <w:ilvl w:val="0"/>
          <w:numId w:val="24"/>
        </w:numPr>
        <w:spacing w:before="240" w:line="259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D73C00">
        <w:rPr>
          <w:rFonts w:ascii="Calibri" w:eastAsia="Calibri" w:hAnsi="Calibri"/>
          <w:sz w:val="18"/>
          <w:szCs w:val="18"/>
          <w:lang w:eastAsia="en-US"/>
        </w:rPr>
        <w:t>Tabulka rozdělení prodaných zbraní podle typu: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2103"/>
        <w:gridCol w:w="1781"/>
        <w:gridCol w:w="1781"/>
      </w:tblGrid>
      <w:tr w:rsidR="00537097" w:rsidRPr="00D73C00" w14:paraId="4A8FF53E" w14:textId="77777777" w:rsidTr="004573CE">
        <w:trPr>
          <w:trHeight w:val="464"/>
        </w:trPr>
        <w:tc>
          <w:tcPr>
            <w:tcW w:w="1876" w:type="pct"/>
            <w:vAlign w:val="center"/>
          </w:tcPr>
          <w:p w14:paraId="291A5867" w14:textId="310319A7" w:rsidR="00537097" w:rsidRPr="00D73C00" w:rsidRDefault="00F81EDC" w:rsidP="00F81EDC">
            <w:pPr>
              <w:pStyle w:val="ClientNormal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>
              <w:rPr>
                <w:rFonts w:ascii="Calibri" w:eastAsia="Calibri" w:hAnsi="Calibri"/>
                <w:sz w:val="18"/>
                <w:szCs w:val="18"/>
                <w:lang w:val="cs-CZ"/>
              </w:rPr>
              <w:t>V ks</w:t>
            </w:r>
          </w:p>
        </w:tc>
        <w:tc>
          <w:tcPr>
            <w:tcW w:w="1160" w:type="pct"/>
            <w:vAlign w:val="center"/>
          </w:tcPr>
          <w:p w14:paraId="72BE36C4" w14:textId="490EDB43" w:rsidR="00537097" w:rsidRPr="00D73C00" w:rsidRDefault="00A33D93" w:rsidP="002F1246">
            <w:pPr>
              <w:pStyle w:val="ClientNormal"/>
              <w:ind w:left="720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1. čtvrtletí</w:t>
            </w:r>
            <w:r w:rsidR="00E53944"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 xml:space="preserve"> 2021</w:t>
            </w:r>
          </w:p>
        </w:tc>
        <w:tc>
          <w:tcPr>
            <w:tcW w:w="982" w:type="pct"/>
            <w:vAlign w:val="center"/>
          </w:tcPr>
          <w:p w14:paraId="0647E4C2" w14:textId="64B9C2C5" w:rsidR="00537097" w:rsidRPr="00D73C00" w:rsidRDefault="00A33D93" w:rsidP="002F1246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1. čtvrtletí 2020</w:t>
            </w:r>
          </w:p>
        </w:tc>
        <w:tc>
          <w:tcPr>
            <w:tcW w:w="982" w:type="pct"/>
            <w:vAlign w:val="center"/>
          </w:tcPr>
          <w:p w14:paraId="0F1F9B28" w14:textId="2C4201A1" w:rsidR="00537097" w:rsidRPr="00D73C00" w:rsidRDefault="001F7060" w:rsidP="002F1246">
            <w:pPr>
              <w:pStyle w:val="ClientNormal"/>
              <w:jc w:val="right"/>
              <w:rPr>
                <w:rFonts w:ascii="Calibri" w:eastAsia="Calibri" w:hAnsi="Calibri"/>
                <w:sz w:val="18"/>
                <w:szCs w:val="18"/>
                <w:lang w:val="cs-CZ"/>
              </w:rPr>
            </w:pPr>
            <w:r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>Změna v</w:t>
            </w:r>
            <w:r w:rsidR="003C693A" w:rsidRPr="00D73C00">
              <w:rPr>
                <w:rFonts w:ascii="Calibri" w:eastAsia="Calibri" w:hAnsi="Calibri"/>
                <w:sz w:val="18"/>
                <w:szCs w:val="18"/>
                <w:lang w:val="cs-CZ"/>
              </w:rPr>
              <w:t xml:space="preserve"> %</w:t>
            </w:r>
          </w:p>
        </w:tc>
      </w:tr>
      <w:tr w:rsidR="00E53944" w:rsidRPr="00D73C00" w14:paraId="191A5328" w14:textId="77777777" w:rsidTr="004573CE">
        <w:trPr>
          <w:trHeight w:val="283"/>
        </w:trPr>
        <w:tc>
          <w:tcPr>
            <w:tcW w:w="1876" w:type="pct"/>
          </w:tcPr>
          <w:p w14:paraId="00E1A33F" w14:textId="7B454E2F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18"/>
                <w:lang w:val="cs-CZ"/>
              </w:rPr>
              <w:t>Dlouhé palné zbraně</w:t>
            </w:r>
          </w:p>
        </w:tc>
        <w:tc>
          <w:tcPr>
            <w:tcW w:w="1160" w:type="pct"/>
          </w:tcPr>
          <w:p w14:paraId="6B406B2C" w14:textId="002A65CE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85 527</w:t>
            </w:r>
          </w:p>
        </w:tc>
        <w:tc>
          <w:tcPr>
            <w:tcW w:w="982" w:type="pct"/>
          </w:tcPr>
          <w:p w14:paraId="215C552C" w14:textId="02FDD6BB" w:rsidR="00E53944" w:rsidRPr="00D73C00" w:rsidRDefault="00E53944" w:rsidP="00E53944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56 431</w:t>
            </w:r>
          </w:p>
        </w:tc>
        <w:tc>
          <w:tcPr>
            <w:tcW w:w="982" w:type="pct"/>
          </w:tcPr>
          <w:p w14:paraId="6E3C446F" w14:textId="40DCFECA" w:rsidR="00E53944" w:rsidRPr="0012423E" w:rsidRDefault="00E53944" w:rsidP="00DA18BB">
            <w:pPr>
              <w:pStyle w:val="ClientNormal"/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51,56%</w:t>
            </w:r>
          </w:p>
        </w:tc>
      </w:tr>
      <w:tr w:rsidR="00E53944" w:rsidRPr="00D73C00" w14:paraId="5C531FEF" w14:textId="77777777" w:rsidTr="004573CE">
        <w:trPr>
          <w:trHeight w:val="283"/>
        </w:trPr>
        <w:tc>
          <w:tcPr>
            <w:tcW w:w="1876" w:type="pct"/>
          </w:tcPr>
          <w:p w14:paraId="21F4F0B0" w14:textId="75ECC341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18"/>
                <w:lang w:val="cs-CZ"/>
              </w:rPr>
              <w:t>Krátké palné zbraně</w:t>
            </w:r>
          </w:p>
        </w:tc>
        <w:tc>
          <w:tcPr>
            <w:tcW w:w="1160" w:type="pct"/>
          </w:tcPr>
          <w:p w14:paraId="4CC24A88" w14:textId="38DAF81A" w:rsidR="00E53944" w:rsidRPr="00D73C00" w:rsidRDefault="00E53944" w:rsidP="00E53944">
            <w:pPr>
              <w:pStyle w:val="ClientNormal"/>
              <w:pBdr>
                <w:bottom w:val="single" w:sz="4" w:space="1" w:color="auto"/>
              </w:pBdr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51 556</w:t>
            </w:r>
          </w:p>
        </w:tc>
        <w:tc>
          <w:tcPr>
            <w:tcW w:w="982" w:type="pct"/>
          </w:tcPr>
          <w:p w14:paraId="54B21EE5" w14:textId="7080339B" w:rsidR="00E53944" w:rsidRPr="00D73C00" w:rsidRDefault="00E53944" w:rsidP="00E53944">
            <w:pPr>
              <w:pStyle w:val="ClientNormal"/>
              <w:pBdr>
                <w:bottom w:val="single" w:sz="4" w:space="1" w:color="auto"/>
              </w:pBdr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sz w:val="18"/>
                <w:szCs w:val="20"/>
              </w:rPr>
              <w:t>30 172</w:t>
            </w:r>
          </w:p>
        </w:tc>
        <w:tc>
          <w:tcPr>
            <w:tcW w:w="982" w:type="pct"/>
          </w:tcPr>
          <w:p w14:paraId="505808B6" w14:textId="6A76A9BF" w:rsidR="00E53944" w:rsidRPr="00D73C00" w:rsidRDefault="004573CE" w:rsidP="00E53944">
            <w:pPr>
              <w:pStyle w:val="ClientNormal"/>
              <w:pBdr>
                <w:bottom w:val="single" w:sz="4" w:space="1" w:color="auto"/>
              </w:pBdr>
              <w:jc w:val="right"/>
              <w:rPr>
                <w:rFonts w:ascii="Calibri" w:eastAsia="Calibri" w:hAnsi="Calibri" w:cs="Calibri"/>
                <w:sz w:val="18"/>
                <w:szCs w:val="20"/>
                <w:lang w:val="cs-CZ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 w:rsidR="00E53944" w:rsidRPr="00D73C00">
              <w:rPr>
                <w:rFonts w:ascii="Calibri" w:hAnsi="Calibri" w:cs="Calibri"/>
                <w:sz w:val="18"/>
                <w:szCs w:val="20"/>
              </w:rPr>
              <w:t>70,87%</w:t>
            </w:r>
          </w:p>
        </w:tc>
      </w:tr>
      <w:tr w:rsidR="00E53944" w:rsidRPr="00D73C00" w14:paraId="5BB24AC5" w14:textId="77777777" w:rsidTr="004573CE">
        <w:trPr>
          <w:trHeight w:val="283"/>
        </w:trPr>
        <w:tc>
          <w:tcPr>
            <w:tcW w:w="1876" w:type="pct"/>
          </w:tcPr>
          <w:p w14:paraId="7BFCEA4A" w14:textId="67B066B0" w:rsidR="00E53944" w:rsidRPr="00D73C00" w:rsidRDefault="00E53944" w:rsidP="00E53944">
            <w:pPr>
              <w:pStyle w:val="ClientNormal"/>
              <w:tabs>
                <w:tab w:val="left" w:leader="dot" w:pos="5264"/>
              </w:tabs>
              <w:spacing w:line="260" w:lineRule="atLeast"/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</w:pPr>
            <w:r w:rsidRPr="00D73C00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Palné zbraně celkem</w:t>
            </w:r>
          </w:p>
        </w:tc>
        <w:tc>
          <w:tcPr>
            <w:tcW w:w="1160" w:type="pct"/>
          </w:tcPr>
          <w:p w14:paraId="30B50A40" w14:textId="3F58768A" w:rsidR="00E53944" w:rsidRPr="00D73C00" w:rsidRDefault="00E53944" w:rsidP="00E53944">
            <w:pPr>
              <w:pStyle w:val="ClientNormal"/>
              <w:pBdr>
                <w:bottom w:val="double" w:sz="4" w:space="1" w:color="auto"/>
              </w:pBdr>
              <w:jc w:val="right"/>
              <w:rPr>
                <w:rFonts w:ascii="Calibri" w:eastAsia="Calibri" w:hAnsi="Calibri" w:cs="Calibri"/>
                <w:b/>
                <w:bCs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b/>
                <w:bCs/>
                <w:sz w:val="18"/>
                <w:szCs w:val="20"/>
              </w:rPr>
              <w:t>137 083</w:t>
            </w:r>
          </w:p>
        </w:tc>
        <w:tc>
          <w:tcPr>
            <w:tcW w:w="982" w:type="pct"/>
          </w:tcPr>
          <w:p w14:paraId="2C570C59" w14:textId="5F097233" w:rsidR="00E53944" w:rsidRPr="00D73C00" w:rsidRDefault="00E53944" w:rsidP="00E53944">
            <w:pPr>
              <w:pStyle w:val="ClientNormal"/>
              <w:pBdr>
                <w:bottom w:val="double" w:sz="4" w:space="1" w:color="auto"/>
              </w:pBdr>
              <w:jc w:val="right"/>
              <w:rPr>
                <w:rFonts w:ascii="Calibri" w:eastAsia="Calibri" w:hAnsi="Calibri" w:cs="Calibri"/>
                <w:b/>
                <w:bCs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b/>
                <w:bCs/>
                <w:sz w:val="18"/>
                <w:szCs w:val="20"/>
              </w:rPr>
              <w:t>86 603</w:t>
            </w:r>
          </w:p>
        </w:tc>
        <w:tc>
          <w:tcPr>
            <w:tcW w:w="982" w:type="pct"/>
          </w:tcPr>
          <w:p w14:paraId="228176AB" w14:textId="5D90A23F" w:rsidR="00E53944" w:rsidRPr="00D73C00" w:rsidRDefault="00E53944" w:rsidP="00E53944">
            <w:pPr>
              <w:pStyle w:val="ClientNormal"/>
              <w:pBdr>
                <w:bottom w:val="double" w:sz="4" w:space="1" w:color="auto"/>
              </w:pBdr>
              <w:jc w:val="right"/>
              <w:rPr>
                <w:rFonts w:ascii="Calibri" w:eastAsia="Calibri" w:hAnsi="Calibri" w:cs="Calibri"/>
                <w:b/>
                <w:bCs/>
                <w:sz w:val="18"/>
                <w:szCs w:val="20"/>
                <w:lang w:val="cs-CZ"/>
              </w:rPr>
            </w:pPr>
            <w:r w:rsidRPr="00D73C00">
              <w:rPr>
                <w:rFonts w:ascii="Calibri" w:hAnsi="Calibri" w:cs="Calibri"/>
                <w:b/>
                <w:bCs/>
                <w:sz w:val="18"/>
                <w:szCs w:val="20"/>
              </w:rPr>
              <w:t>58,29%</w:t>
            </w:r>
          </w:p>
        </w:tc>
      </w:tr>
    </w:tbl>
    <w:p w14:paraId="19FB39B2" w14:textId="37D7868C" w:rsidR="00C312DC" w:rsidRPr="00D73C00" w:rsidRDefault="00C312DC" w:rsidP="003E5C5F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73F154A5" w14:textId="26AA8885" w:rsidR="00A75543" w:rsidRPr="00D73C00" w:rsidRDefault="000D25CD" w:rsidP="00E53944">
      <w:pPr>
        <w:spacing w:before="240"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Provozní zisk a EBITDA</w:t>
      </w:r>
      <w:r w:rsidR="00A75543" w:rsidRPr="00D73C00">
        <w:rPr>
          <w:rStyle w:val="Znakapoznpodarou"/>
          <w:rFonts w:ascii="Calibri" w:eastAsiaTheme="minorHAnsi" w:hAnsi="Calibri" w:cs="Calibri"/>
          <w:b/>
          <w:bCs/>
          <w:sz w:val="18"/>
          <w:szCs w:val="18"/>
          <w:lang w:eastAsia="en-US"/>
        </w:rPr>
        <w:footnoteReference w:id="2"/>
      </w:r>
    </w:p>
    <w:p w14:paraId="27A10D9D" w14:textId="77440AEA" w:rsidR="003E5C5F" w:rsidRPr="00D73C00" w:rsidRDefault="000D25CD" w:rsidP="003E5C5F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V</w:t>
      </w:r>
      <w:r w:rsidR="00E53944" w:rsidRPr="00D73C00">
        <w:rPr>
          <w:rFonts w:ascii="Calibri" w:eastAsia="Calibri" w:hAnsi="Calibri"/>
          <w:sz w:val="18"/>
          <w:szCs w:val="18"/>
          <w:lang w:eastAsia="en-US"/>
        </w:rPr>
        <w:t xml:space="preserve"> prvním čtvrtletí 2021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dosáhl provozní zisk výše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334,9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mil. Kč, což je o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216,6</w:t>
      </w:r>
      <w:r w:rsidR="00A344E2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C312DC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% 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meziročně </w:t>
      </w:r>
      <w:r w:rsidR="000263F5" w:rsidRPr="00D73C00">
        <w:rPr>
          <w:rFonts w:ascii="Calibri" w:eastAsiaTheme="minorHAnsi" w:hAnsi="Calibri" w:cs="Calibri"/>
          <w:sz w:val="18"/>
          <w:szCs w:val="18"/>
          <w:lang w:eastAsia="en-US"/>
        </w:rPr>
        <w:t>více,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a to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zejména </w:t>
      </w:r>
      <w:r w:rsidR="000263F5" w:rsidRPr="00D73C00">
        <w:rPr>
          <w:rFonts w:ascii="Calibri" w:eastAsiaTheme="minorHAnsi" w:hAnsi="Calibri" w:cs="Calibri"/>
          <w:sz w:val="18"/>
          <w:szCs w:val="18"/>
          <w:lang w:eastAsia="en-US"/>
        </w:rPr>
        <w:t>díky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nárůstu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prodejů. EBITDA činila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v</w:t>
      </w:r>
      <w:r w:rsidR="00630143" w:rsidRPr="00D73C00">
        <w:rPr>
          <w:rFonts w:ascii="Calibri" w:eastAsia="Calibri" w:hAnsi="Calibri"/>
          <w:sz w:val="18"/>
          <w:szCs w:val="18"/>
          <w:lang w:eastAsia="en-US"/>
        </w:rPr>
        <w:t xml:space="preserve"> prvním čtvrtletí 2021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438,2</w:t>
      </w:r>
      <w:r w:rsidR="00C801E6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>mil. Kč</w:t>
      </w:r>
      <w:r w:rsidR="00011BC9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3E5C5F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>což představuje meziroční nárůst o</w:t>
      </w:r>
      <w:r w:rsidR="000263F5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117,4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3E5C5F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% </w:t>
      </w:r>
      <w:r w:rsidR="00130054" w:rsidRPr="00D73C00">
        <w:rPr>
          <w:rFonts w:ascii="Calibri" w:eastAsiaTheme="minorHAnsi" w:hAnsi="Calibri" w:cs="Calibri"/>
          <w:sz w:val="18"/>
          <w:szCs w:val="18"/>
          <w:lang w:eastAsia="en-US"/>
        </w:rPr>
        <w:t>na základě vyšších výnosů a provozní ziskovosti.</w:t>
      </w:r>
      <w:r w:rsidR="003E5C5F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</w:p>
    <w:p w14:paraId="75A14904" w14:textId="77777777" w:rsidR="002F1246" w:rsidRPr="00D73C00" w:rsidRDefault="002F1246" w:rsidP="003E5C5F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304391D7" w14:textId="734B91F1" w:rsidR="00A75543" w:rsidRPr="00D73C00" w:rsidRDefault="00130054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Zisk před zdaněním</w:t>
      </w:r>
    </w:p>
    <w:p w14:paraId="0078CE4D" w14:textId="20D409FF" w:rsidR="00130054" w:rsidRPr="00D73C00" w:rsidRDefault="00130054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Zisk před zdaněním se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v</w:t>
      </w:r>
      <w:r w:rsidR="00630143" w:rsidRPr="00D73C00">
        <w:rPr>
          <w:rFonts w:ascii="Calibri" w:eastAsia="Calibri" w:hAnsi="Calibri"/>
          <w:sz w:val="18"/>
          <w:szCs w:val="18"/>
          <w:lang w:eastAsia="en-US"/>
        </w:rPr>
        <w:t xml:space="preserve"> prvním čtvrtletí 2021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mírně meziročně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zvýšil a dosáhl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hodnoty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361,6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mil. Kč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, v porovnání se ztrátou 66,3 mil. Kč v prvním čtvrtletí 2020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. Tento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rozdíl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souvisí se ztrátami z přecenění </w:t>
      </w:r>
      <w:r w:rsidR="000263F5" w:rsidRPr="00D73C00">
        <w:rPr>
          <w:rFonts w:ascii="Calibri" w:eastAsiaTheme="minorHAnsi" w:hAnsi="Calibri" w:cs="Calibri"/>
          <w:sz w:val="18"/>
          <w:szCs w:val="18"/>
          <w:lang w:eastAsia="en-US"/>
        </w:rPr>
        <w:t>portfolia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cizoměnových derivátů používaný</w:t>
      </w:r>
      <w:r w:rsidR="00F96D9C" w:rsidRPr="00D73C00">
        <w:rPr>
          <w:rFonts w:ascii="Calibri" w:eastAsiaTheme="minorHAnsi" w:hAnsi="Calibri" w:cs="Calibri"/>
          <w:sz w:val="18"/>
          <w:szCs w:val="18"/>
          <w:lang w:eastAsia="en-US"/>
        </w:rPr>
        <w:t>ch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4707AA" w:rsidRPr="00D73C00">
        <w:rPr>
          <w:rFonts w:ascii="Calibri" w:eastAsiaTheme="minorHAnsi" w:hAnsi="Calibri" w:cs="Calibri"/>
          <w:sz w:val="18"/>
          <w:szCs w:val="18"/>
          <w:lang w:eastAsia="en-US"/>
        </w:rPr>
        <w:lastRenderedPageBreak/>
        <w:t>za účelem zajištění měnového a úrokového rizika, kter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é</w:t>
      </w:r>
      <w:r w:rsidR="004707AA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byl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o</w:t>
      </w:r>
      <w:r w:rsidR="004707AA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v prvním čtvrtletí 2020 způsoben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o</w:t>
      </w:r>
      <w:r w:rsidR="004707AA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výrazný</w:t>
      </w:r>
      <w:r w:rsidR="004707AA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m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pokles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em</w:t>
      </w:r>
      <w:r w:rsidR="00C801E6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hodnoty české koruny vůči euru i americkému dolaru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. Oproti tomu posilování české koruny vůči eura v prvním čtvrtletí 2021 naopak </w:t>
      </w:r>
      <w:r w:rsidR="004707AA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znamenalo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zisk z přecenění portfolia cizoměnových derivátů používaných k zajišťovacím operacím.</w:t>
      </w:r>
    </w:p>
    <w:p w14:paraId="048B2264" w14:textId="77777777" w:rsidR="00A75543" w:rsidRPr="00D73C00" w:rsidRDefault="00A75543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1A69A263" w14:textId="0C6FDFAA" w:rsidR="00130054" w:rsidRPr="00D73C00" w:rsidRDefault="00130054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Zisk </w:t>
      </w:r>
      <w:r w:rsidR="00243B74"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za období po zdanění</w:t>
      </w:r>
    </w:p>
    <w:p w14:paraId="161F31AB" w14:textId="66008871" w:rsidR="00C81784" w:rsidRPr="00D73C00" w:rsidRDefault="00130054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Zisk </w:t>
      </w:r>
      <w:r w:rsidR="00243B7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za období po zdanění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se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v</w:t>
      </w:r>
      <w:r w:rsidR="00630143" w:rsidRPr="00D73C00">
        <w:rPr>
          <w:rFonts w:ascii="Calibri" w:eastAsia="Calibri" w:hAnsi="Calibri"/>
          <w:sz w:val="18"/>
          <w:szCs w:val="18"/>
          <w:lang w:eastAsia="en-US"/>
        </w:rPr>
        <w:t xml:space="preserve"> prvním čtvrtletí 2021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zvýšil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ve srovnání s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 prvním čtvrtletím roku 2020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a dosáhl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hodnot</w:t>
      </w:r>
      <w:r w:rsidR="00DD4EA2" w:rsidRPr="00D73C00">
        <w:rPr>
          <w:rFonts w:ascii="Calibri" w:eastAsiaTheme="minorHAnsi" w:hAnsi="Calibri" w:cs="Calibri"/>
          <w:sz w:val="18"/>
          <w:szCs w:val="18"/>
          <w:lang w:eastAsia="en-US"/>
        </w:rPr>
        <w:t>y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275,6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mil. Kč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oproti ztrátě 59,1 mil. Kč v prvním čtvrtletí 2020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a to z důvodů popsaných výše.</w:t>
      </w:r>
    </w:p>
    <w:p w14:paraId="21659B00" w14:textId="77777777" w:rsidR="000263F5" w:rsidRPr="00D73C00" w:rsidRDefault="000263F5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</w:p>
    <w:p w14:paraId="4CB0F353" w14:textId="7F8EB93F" w:rsidR="00D73607" w:rsidRPr="00D73C00" w:rsidRDefault="00130054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Investice</w:t>
      </w:r>
    </w:p>
    <w:p w14:paraId="5941AB98" w14:textId="4A162D7B" w:rsidR="00A33D93" w:rsidRPr="00D73C00" w:rsidRDefault="00130054" w:rsidP="00A33D9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Kapitálové výdaje Skupiny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v</w:t>
      </w:r>
      <w:r w:rsidR="00630143" w:rsidRPr="00D73C00">
        <w:rPr>
          <w:rFonts w:ascii="Calibri" w:eastAsia="Calibri" w:hAnsi="Calibri"/>
          <w:sz w:val="18"/>
          <w:szCs w:val="18"/>
          <w:lang w:eastAsia="en-US"/>
        </w:rPr>
        <w:t xml:space="preserve"> prvním čtvrtletí 2021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dosáhly hodnoty </w:t>
      </w:r>
      <w:r w:rsidR="00630143" w:rsidRPr="00D73C00">
        <w:rPr>
          <w:rFonts w:ascii="Calibri" w:eastAsiaTheme="minorHAnsi" w:hAnsi="Calibri" w:cs="Calibri"/>
          <w:sz w:val="18"/>
          <w:szCs w:val="18"/>
          <w:lang w:eastAsia="en-US"/>
        </w:rPr>
        <w:t>115,1</w:t>
      </w:r>
      <w:r w:rsidR="00D73607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mil. Kč</w:t>
      </w:r>
      <w:r w:rsidR="0009411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a představovaly tak</w:t>
      </w:r>
      <w:r w:rsidR="00D73607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>5,6</w:t>
      </w:r>
      <w:r w:rsidR="00D73607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%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podíl z celkových výnosů v 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>prvním čtvrtletí 2020, což je v souladu s komunikovaným výhledem na rok 2021 (5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–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7 % z celkových výnosů v roce 2021). 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Kapitálové výdaje byly vynaloženy primárně na modernizaci výrobního zařízení a </w:t>
      </w:r>
      <w:r w:rsidR="006C4FF6" w:rsidRPr="00D73C00">
        <w:rPr>
          <w:rFonts w:ascii="Calibri" w:eastAsiaTheme="minorHAnsi" w:hAnsi="Calibri" w:cs="Calibri"/>
          <w:sz w:val="18"/>
          <w:szCs w:val="18"/>
          <w:lang w:eastAsia="en-US"/>
        </w:rPr>
        <w:t>kapacity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Skupiny.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</w:p>
    <w:p w14:paraId="45D001D7" w14:textId="77777777" w:rsidR="00D73607" w:rsidRPr="00D73C00" w:rsidRDefault="00D73607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4F1AB15F" w14:textId="66FCDD68" w:rsidR="005350C4" w:rsidRPr="00D73C00" w:rsidRDefault="00D73C00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Aktualizace </w:t>
      </w:r>
      <w:r w:rsidR="00A33D93"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výhledu na rok </w:t>
      </w:r>
      <w:r w:rsidR="00B37ADE"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2021</w:t>
      </w:r>
    </w:p>
    <w:p w14:paraId="5ABEBCB1" w14:textId="40D20C23" w:rsidR="00F52064" w:rsidRPr="00D73C00" w:rsidRDefault="004707AA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Vzhledem k dokončení akvizice skupiny Colt vedení Společnosti aktualizuje 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svůj dříve komunikovaný výhled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a 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očekává, že celkové výnosy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skupiny CZG včetně přínosů skupiny Colt od data převzetí (21. května 2021) m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ohou dosáhnout výše </w:t>
      </w:r>
      <w:r w:rsidR="006360E8" w:rsidRPr="00D73C00">
        <w:rPr>
          <w:rFonts w:ascii="Calibri" w:eastAsiaTheme="minorHAnsi" w:hAnsi="Calibri" w:cs="Calibri"/>
          <w:sz w:val="18"/>
          <w:szCs w:val="18"/>
          <w:lang w:eastAsia="en-US"/>
        </w:rPr>
        <w:t>10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D73C00" w:rsidRPr="00D73C00">
        <w:rPr>
          <w:rFonts w:ascii="Calibri" w:eastAsiaTheme="minorHAnsi" w:hAnsi="Calibri" w:cs="Calibri"/>
          <w:sz w:val="18"/>
          <w:szCs w:val="18"/>
          <w:lang w:eastAsia="en-US"/>
        </w:rPr>
        <w:t>34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–</w:t>
      </w:r>
      <w:r w:rsidR="006360E8" w:rsidRPr="00D73C00">
        <w:rPr>
          <w:rFonts w:ascii="Calibri" w:eastAsiaTheme="minorHAnsi" w:hAnsi="Calibri" w:cs="Calibri"/>
          <w:sz w:val="18"/>
          <w:szCs w:val="18"/>
          <w:lang w:eastAsia="en-US"/>
        </w:rPr>
        <w:t>10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D73C00" w:rsidRPr="00D73C00">
        <w:rPr>
          <w:rFonts w:ascii="Calibri" w:eastAsiaTheme="minorHAnsi" w:hAnsi="Calibri" w:cs="Calibri"/>
          <w:sz w:val="18"/>
          <w:szCs w:val="18"/>
          <w:lang w:eastAsia="en-US"/>
        </w:rPr>
        <w:t>64</w:t>
      </w:r>
      <w:r w:rsidR="006360E8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6C4FF6" w:rsidRPr="00D73C00">
        <w:rPr>
          <w:rFonts w:ascii="Calibri" w:eastAsiaTheme="minorHAnsi" w:hAnsi="Calibri" w:cs="Calibri"/>
          <w:sz w:val="18"/>
          <w:szCs w:val="18"/>
          <w:lang w:eastAsia="en-US"/>
        </w:rPr>
        <w:t>miliard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Kč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. 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Očekávaná výše ukazatele 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>EBITDA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z pokračujících operací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by mohla dosáhnout v roce 2021 </w:t>
      </w:r>
      <w:r w:rsidR="00D73C00" w:rsidRPr="00D73C00">
        <w:rPr>
          <w:rFonts w:ascii="Calibri" w:eastAsiaTheme="minorHAnsi" w:hAnsi="Calibri" w:cs="Calibri"/>
          <w:sz w:val="18"/>
          <w:szCs w:val="18"/>
          <w:lang w:eastAsia="en-US"/>
        </w:rPr>
        <w:t>1,99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–</w:t>
      </w:r>
      <w:r w:rsidR="006360E8" w:rsidRPr="00D73C00">
        <w:rPr>
          <w:rFonts w:ascii="Calibri" w:eastAsiaTheme="minorHAnsi" w:hAnsi="Calibri" w:cs="Calibri"/>
          <w:sz w:val="18"/>
          <w:szCs w:val="18"/>
          <w:lang w:eastAsia="en-US"/>
        </w:rPr>
        <w:t>2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D73C00" w:rsidRPr="00D73C00">
        <w:rPr>
          <w:rFonts w:ascii="Calibri" w:eastAsiaTheme="minorHAnsi" w:hAnsi="Calibri" w:cs="Calibri"/>
          <w:sz w:val="18"/>
          <w:szCs w:val="18"/>
          <w:lang w:eastAsia="en-US"/>
        </w:rPr>
        <w:t>19</w:t>
      </w:r>
      <w:r w:rsidR="006360E8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E7167E" w:rsidRPr="00D73C00">
        <w:rPr>
          <w:rFonts w:ascii="Calibri" w:eastAsiaTheme="minorHAnsi" w:hAnsi="Calibri" w:cs="Calibri"/>
          <w:sz w:val="18"/>
          <w:szCs w:val="18"/>
          <w:lang w:eastAsia="en-US"/>
        </w:rPr>
        <w:t>miliardy Kč</w:t>
      </w:r>
      <w:r w:rsidR="00424319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. </w:t>
      </w:r>
    </w:p>
    <w:p w14:paraId="296961FF" w14:textId="77777777" w:rsidR="00F52064" w:rsidRPr="00D73C00" w:rsidRDefault="00F52064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33A174EC" w14:textId="38473CD5" w:rsidR="00A33D93" w:rsidRPr="00D73C00" w:rsidRDefault="00A33D93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Vzhledem k příznivému vývoji 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>hospodaření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806EE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CZG 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a </w:t>
      </w:r>
      <w:r w:rsidR="00806EEE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k 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>příznivému vývoji výsledk</w:t>
      </w:r>
      <w:r w:rsidR="00360460" w:rsidRPr="00D73C00">
        <w:rPr>
          <w:rFonts w:ascii="Calibri" w:eastAsiaTheme="minorHAnsi" w:hAnsi="Calibri" w:cs="Calibri"/>
          <w:sz w:val="18"/>
          <w:szCs w:val="18"/>
          <w:lang w:eastAsia="en-US"/>
        </w:rPr>
        <w:t>ů</w:t>
      </w:r>
      <w:r w:rsidR="00FE069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skupiny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Colt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k datu této zpráv</w:t>
      </w:r>
      <w:r w:rsidR="006360E8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y management očekává, že je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pravděpodobné, že by </w:t>
      </w:r>
      <w:r w:rsidR="00806EEE" w:rsidRPr="00D73C00">
        <w:rPr>
          <w:rFonts w:ascii="Calibri" w:eastAsiaTheme="minorHAnsi" w:hAnsi="Calibri" w:cs="Calibri"/>
          <w:sz w:val="18"/>
          <w:szCs w:val="18"/>
          <w:lang w:eastAsia="en-US"/>
        </w:rPr>
        <w:t>Skupina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mohla naplnit 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>výhledy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na horní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>ch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hranic</w:t>
      </w:r>
      <w:r w:rsidR="002D7501" w:rsidRPr="00D73C00">
        <w:rPr>
          <w:rFonts w:ascii="Calibri" w:eastAsiaTheme="minorHAnsi" w:hAnsi="Calibri" w:cs="Calibri"/>
          <w:sz w:val="18"/>
          <w:szCs w:val="18"/>
          <w:lang w:eastAsia="en-US"/>
        </w:rPr>
        <w:t>ích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jejich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rozpětí.</w:t>
      </w:r>
    </w:p>
    <w:p w14:paraId="6C38E812" w14:textId="77777777" w:rsidR="00A33D93" w:rsidRPr="00D73C00" w:rsidRDefault="00A33D93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76E178A0" w14:textId="37BD6004" w:rsidR="005350C4" w:rsidRPr="00D73C00" w:rsidRDefault="00E7167E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Hlavní výzvou Společnosti zůstává schopnost nasytit </w:t>
      </w:r>
      <w:r w:rsidR="006C4FF6" w:rsidRPr="00D73C00">
        <w:rPr>
          <w:rFonts w:ascii="Calibri" w:eastAsiaTheme="minorHAnsi" w:hAnsi="Calibri" w:cs="Calibri"/>
          <w:sz w:val="18"/>
          <w:szCs w:val="18"/>
          <w:lang w:eastAsia="en-US"/>
        </w:rPr>
        <w:t>celosvětově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silnou poptávku jak z hlediska vlastních výrobních kapacit, tak z hlediska kapacit a možností ze strany dodavatelů, což je ovlivněno řado</w:t>
      </w:r>
      <w:r w:rsidR="00C801E6" w:rsidRPr="00D73C00">
        <w:rPr>
          <w:rFonts w:ascii="Calibri" w:eastAsiaTheme="minorHAnsi" w:hAnsi="Calibri" w:cs="Calibri"/>
          <w:sz w:val="18"/>
          <w:szCs w:val="18"/>
          <w:lang w:eastAsia="en-US"/>
        </w:rPr>
        <w:t>u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faktorů včetně 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>př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etrvávající napjaté situace kolem covid-19. </w:t>
      </w:r>
    </w:p>
    <w:p w14:paraId="1CB500A9" w14:textId="77777777" w:rsidR="00230885" w:rsidRPr="00D73C00" w:rsidRDefault="00230885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4A51A61B" w14:textId="13E1B359" w:rsidR="005350C4" w:rsidRPr="00D73C00" w:rsidRDefault="00A33D93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Nadcházející valná hromada mimo její zasedání (per rollam) a schválení výplaty dividendy</w:t>
      </w:r>
    </w:p>
    <w:p w14:paraId="58D26BF0" w14:textId="1FCB8ADF" w:rsidR="005350C4" w:rsidRPr="00D73C00" w:rsidRDefault="00E7167E" w:rsidP="002D7501">
      <w:pPr>
        <w:spacing w:before="120"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V souladu s přijatou dividendovou politikou vyplatit 1/3 </w:t>
      </w:r>
      <w:r w:rsidR="006C4FF6" w:rsidRPr="00D73C00">
        <w:rPr>
          <w:rFonts w:ascii="Calibri" w:eastAsiaTheme="minorHAnsi" w:hAnsi="Calibri" w:cs="Calibri"/>
          <w:sz w:val="18"/>
          <w:szCs w:val="18"/>
          <w:lang w:eastAsia="en-US"/>
        </w:rPr>
        <w:t>konsolidovaného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čistého zisku 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>vedení Společnosti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navrhne výplatu dividend</w:t>
      </w:r>
      <w:r w:rsidR="00C801E6" w:rsidRPr="00D73C00">
        <w:rPr>
          <w:rFonts w:ascii="Calibri" w:eastAsiaTheme="minorHAnsi" w:hAnsi="Calibri" w:cs="Calibri"/>
          <w:sz w:val="18"/>
          <w:szCs w:val="18"/>
          <w:lang w:eastAsia="en-US"/>
        </w:rPr>
        <w:t>y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ve výši 7,5</w:t>
      </w:r>
      <w:r w:rsidR="00C801E6" w:rsidRPr="00D73C00">
        <w:rPr>
          <w:rFonts w:ascii="Calibri" w:eastAsiaTheme="minorHAnsi" w:hAnsi="Calibri" w:cs="Calibri"/>
          <w:sz w:val="18"/>
          <w:szCs w:val="18"/>
          <w:lang w:eastAsia="en-US"/>
        </w:rPr>
        <w:t>0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Kč na akcii ze svého konsolidovaného čistého zisku za rok 2020. Výplata dividend</w:t>
      </w:r>
      <w:r w:rsidR="006C4FF6" w:rsidRPr="00D73C00">
        <w:rPr>
          <w:rFonts w:ascii="Calibri" w:eastAsiaTheme="minorHAnsi" w:hAnsi="Calibri" w:cs="Calibri"/>
          <w:sz w:val="18"/>
          <w:szCs w:val="18"/>
          <w:lang w:eastAsia="en-US"/>
        </w:rPr>
        <w:t>y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podléhá schválení valnou hromadou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>, která se bude konat mimo zasedání (per rollam)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>, a</w:t>
      </w:r>
      <w:r w:rsidR="00A33D93" w:rsidRPr="00D73C00">
        <w:rPr>
          <w:rFonts w:ascii="Calibri" w:eastAsiaTheme="minorHAnsi" w:hAnsi="Calibri" w:cs="Calibri"/>
          <w:sz w:val="18"/>
          <w:szCs w:val="18"/>
          <w:lang w:eastAsia="en-US"/>
        </w:rPr>
        <w:t> to v průběhu června 2021.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</w:p>
    <w:p w14:paraId="7736017E" w14:textId="4B3DADF5" w:rsidR="005350C4" w:rsidRPr="00D73C00" w:rsidRDefault="005350C4" w:rsidP="00A7554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66934289" w14:textId="2991E519" w:rsidR="005350C4" w:rsidRPr="00D73C00" w:rsidRDefault="00A33D93" w:rsidP="00A75543">
      <w:pPr>
        <w:spacing w:line="276" w:lineRule="auto"/>
        <w:jc w:val="both"/>
        <w:rPr>
          <w:rFonts w:ascii="Calibri" w:eastAsiaTheme="minorHAnsi" w:hAnsi="Calibri" w:cs="Calibri"/>
          <w:b/>
          <w:bCs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Akvizice Colt a údaje o hospodaření </w:t>
      </w:r>
      <w:r w:rsidR="00FE0694"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 xml:space="preserve">skupiny </w:t>
      </w:r>
      <w:r w:rsidRPr="00D73C00">
        <w:rPr>
          <w:rFonts w:ascii="Calibri" w:eastAsiaTheme="minorHAnsi" w:hAnsi="Calibri" w:cs="Calibri"/>
          <w:b/>
          <w:bCs/>
          <w:sz w:val="18"/>
          <w:szCs w:val="18"/>
          <w:lang w:eastAsia="en-US"/>
        </w:rPr>
        <w:t>Colt za první čtvrtletí 2020</w:t>
      </w:r>
    </w:p>
    <w:p w14:paraId="0A9FA536" w14:textId="4362F0C7" w:rsidR="002D7501" w:rsidRPr="00D73C00" w:rsidRDefault="002D7501" w:rsidP="002D7501">
      <w:pPr>
        <w:spacing w:before="120"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Společnost tento týden oznámila, že po získání všech potřebných regulatorních souhlasů od amerických a kanadských orgánů úspěšně dokončila akvizici 100% podílu ve společnosti Colt Holding Company LLC, mateřské společnosti amerického výrobce zbraní Colt’s Manufacturing Company LLC a rovněž jeho kanadské dceřiné společnosti Colt Canada Corporation.</w:t>
      </w:r>
    </w:p>
    <w:p w14:paraId="26484721" w14:textId="0744B338" w:rsidR="00424319" w:rsidRPr="00D73C00" w:rsidRDefault="002D7501" w:rsidP="002D7501">
      <w:pPr>
        <w:spacing w:before="120"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CZG a Colt věří, že fúze přinese významné provozní, obchodní a výzkumně-vývojové synergie pro tento společný podnik, jehož celkové pro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forma tržby za rok 2020 přesáhly 570 milionů USD a který má více než 2000 zaměstnanců v České republice, Spojených státech amerických, Kanadě a v Německu.  </w:t>
      </w:r>
    </w:p>
    <w:p w14:paraId="2999B9BE" w14:textId="02238EB1" w:rsidR="002D7501" w:rsidRPr="00D73C00" w:rsidRDefault="006360E8" w:rsidP="002D7501">
      <w:pPr>
        <w:spacing w:before="120"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Za 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první čtvrtletí 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>2021 dosáh</w:t>
      </w:r>
      <w:r w:rsidR="00FE0694" w:rsidRPr="00D73C00">
        <w:rPr>
          <w:rFonts w:ascii="Calibri" w:eastAsiaTheme="minorHAnsi" w:hAnsi="Calibri" w:cs="Calibri"/>
          <w:sz w:val="18"/>
          <w:szCs w:val="18"/>
          <w:lang w:eastAsia="en-US"/>
        </w:rPr>
        <w:t>l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a </w:t>
      </w:r>
      <w:r w:rsidR="00F52064" w:rsidRPr="00D73C00">
        <w:rPr>
          <w:rFonts w:ascii="Calibri" w:eastAsiaTheme="minorHAnsi" w:hAnsi="Calibri" w:cs="Calibri"/>
          <w:sz w:val="18"/>
          <w:szCs w:val="18"/>
          <w:lang w:eastAsia="en-US"/>
        </w:rPr>
        <w:t>skupina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Colt trže</w:t>
      </w:r>
      <w:r w:rsidR="00FE0694" w:rsidRPr="00D73C00">
        <w:rPr>
          <w:rFonts w:ascii="Calibri" w:eastAsiaTheme="minorHAnsi" w:hAnsi="Calibri" w:cs="Calibri"/>
          <w:sz w:val="18"/>
          <w:szCs w:val="18"/>
          <w:lang w:eastAsia="en-US"/>
        </w:rPr>
        <w:t>b</w:t>
      </w:r>
      <w:r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1,</w:t>
      </w:r>
      <w:r w:rsidR="00FE0694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4 mld. 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Kč </w:t>
      </w:r>
      <w:r w:rsidR="00FE0694" w:rsidRPr="00D73C00">
        <w:rPr>
          <w:rFonts w:ascii="Calibri" w:eastAsiaTheme="minorHAnsi" w:hAnsi="Calibri" w:cs="Calibri"/>
          <w:sz w:val="18"/>
          <w:szCs w:val="18"/>
          <w:lang w:eastAsia="en-US"/>
        </w:rPr>
        <w:t>a upravené EBITDA 319,7 mil.</w:t>
      </w:r>
      <w:r w:rsidR="0041624C" w:rsidRPr="00D73C00">
        <w:rPr>
          <w:rFonts w:ascii="Calibri" w:eastAsiaTheme="minorHAnsi" w:hAnsi="Calibri" w:cs="Calibri"/>
          <w:sz w:val="18"/>
          <w:szCs w:val="18"/>
          <w:lang w:eastAsia="en-US"/>
        </w:rPr>
        <w:t xml:space="preserve"> Kč</w:t>
      </w:r>
      <w:r w:rsidR="00FE0694" w:rsidRPr="00D73C00">
        <w:rPr>
          <w:rStyle w:val="Znakapoznpodarou"/>
          <w:rFonts w:ascii="Calibri" w:eastAsiaTheme="minorHAnsi" w:hAnsi="Calibri" w:cs="Calibri"/>
          <w:sz w:val="18"/>
          <w:szCs w:val="18"/>
          <w:lang w:eastAsia="en-US"/>
        </w:rPr>
        <w:footnoteReference w:id="3"/>
      </w:r>
      <w:r w:rsidR="009B10FD" w:rsidRPr="00D73C00">
        <w:rPr>
          <w:rFonts w:ascii="Calibri" w:eastAsiaTheme="minorHAnsi" w:hAnsi="Calibri" w:cs="Calibri"/>
          <w:sz w:val="18"/>
          <w:szCs w:val="18"/>
          <w:lang w:eastAsia="en-US"/>
        </w:rPr>
        <w:t>.</w:t>
      </w:r>
    </w:p>
    <w:p w14:paraId="21FC2CD8" w14:textId="3F25850B" w:rsidR="00424319" w:rsidRPr="00D73C00" w:rsidRDefault="006360E8" w:rsidP="00AF409F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</w:pP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045F0157" w14:textId="1B0CEA0F" w:rsidR="00E7167E" w:rsidRPr="00D73C00" w:rsidRDefault="00E7167E" w:rsidP="00F81EDC">
      <w:pPr>
        <w:keepNext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</w:pPr>
      <w:r w:rsidRPr="00D73C00">
        <w:rPr>
          <w:rFonts w:ascii="Calibri" w:hAnsi="Calibri" w:cs="Calibri"/>
          <w:b/>
          <w:bCs/>
          <w:color w:val="000000" w:themeColor="text1"/>
          <w:sz w:val="18"/>
          <w:szCs w:val="18"/>
          <w:shd w:val="clear" w:color="auto" w:fill="FFFFFF"/>
        </w:rPr>
        <w:t>O společnosti CZG – Česká zbrojovka Group SE</w:t>
      </w:r>
    </w:p>
    <w:p w14:paraId="4BC3295E" w14:textId="47738D4D" w:rsidR="00E7167E" w:rsidRPr="00D73C00" w:rsidRDefault="00E7167E" w:rsidP="00F81EDC">
      <w:pPr>
        <w:spacing w:before="240" w:line="276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CZG – Česká zbrojovka Group je společně se svými dceřinými společnostmi jedním z předních výrobců ručních palných zbraní pro ozbrojené složky, osobní obranu, lov, sportovní střelbu a další civilní využití. CZG své produkty prodává především pod značkami CZ (Česká zbrojovka), CZ-USA, 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Colt, Colt Canada, 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Dan Wesson, Brno Rifles a 4M Systems. Součástí skupiny CZG jsou společnosti Česká zbrojovka, 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Colt</w:t>
      </w:r>
      <w:r w:rsidR="00A14A1C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‘s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 Manufacturing Company, Colt Canada Corporation, 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CZ-USA, 4M Systems a CZ Export Praha. CZG rovněž drží menšinový podíl ve švédském výrobci optických montážních řešení pro zbraně, společnosti Spuhr i Dalby.</w:t>
      </w:r>
    </w:p>
    <w:p w14:paraId="28AE1D68" w14:textId="77777777" w:rsidR="009B10FD" w:rsidRPr="00D73C00" w:rsidRDefault="009B10FD" w:rsidP="007A7F42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32DB9C5" w14:textId="2925C2C7" w:rsidR="007A7F42" w:rsidRPr="00D73C00" w:rsidRDefault="00E7167E" w:rsidP="007A7F42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CZG má své sídlo v České republice a výrobní kapacity v České republice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,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 ve Spojených státech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 a v Kanadě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. Ve svých provozech v České republice, USA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, Kanadě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 a Německu zaměstnává CZG zhruba </w:t>
      </w:r>
      <w:r w:rsidR="004959C1"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200</w:t>
      </w:r>
      <w:r w:rsidRPr="00D73C00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0 lidí.</w:t>
      </w:r>
    </w:p>
    <w:p w14:paraId="622C4DA2" w14:textId="58AB2D3F" w:rsidR="002D7501" w:rsidRPr="00D73C00" w:rsidRDefault="002D7501" w:rsidP="007A7F42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5C3C6B32" w14:textId="77777777" w:rsidR="007A7F42" w:rsidRPr="00D73C00" w:rsidRDefault="007A7F42" w:rsidP="007A7F42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62BCD420" w14:textId="1E143ABA" w:rsidR="009F2B91" w:rsidRPr="00D73C00" w:rsidRDefault="009F2B91" w:rsidP="009F2B9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</w:p>
    <w:p w14:paraId="091DA3B3" w14:textId="77777777" w:rsidR="006C4FF6" w:rsidRPr="00D73C00" w:rsidRDefault="006C4FF6" w:rsidP="009F2B9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</w:p>
    <w:p w14:paraId="0122B921" w14:textId="44CC5B02" w:rsidR="009F2B91" w:rsidRPr="00D73C00" w:rsidRDefault="00544402" w:rsidP="009F2B91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Kontakt pro </w:t>
      </w:r>
      <w:r w:rsidR="00FF5566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média</w:t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Kontakt pro </w:t>
      </w:r>
      <w:r w:rsidR="00FF5566" w:rsidRPr="00D73C00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investory</w:t>
      </w:r>
    </w:p>
    <w:p w14:paraId="2C24D0E0" w14:textId="2ACBAE65" w:rsidR="009F2B91" w:rsidRPr="00D73C00" w:rsidRDefault="00FF5566" w:rsidP="009F2B9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Eva Svobodová</w:t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0263F5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Klára Šípová</w:t>
      </w:r>
    </w:p>
    <w:p w14:paraId="1B6DE976" w14:textId="71EEF4A7" w:rsidR="009F2B91" w:rsidRPr="00D73C00" w:rsidRDefault="00FF5566" w:rsidP="009F2B9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ředitelka pro vnější vztahy</w:t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Investor Relations</w:t>
      </w:r>
    </w:p>
    <w:p w14:paraId="62A208CD" w14:textId="1FF577AB" w:rsidR="009F2B91" w:rsidRPr="00D73C00" w:rsidRDefault="009F2B91" w:rsidP="009F2B9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CZG – Česká zbrojovka Group SE</w:t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544402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CZG – Česká zbrojovka Group SE</w:t>
      </w:r>
    </w:p>
    <w:p w14:paraId="7D389A1E" w14:textId="19353F57" w:rsidR="009F2B91" w:rsidRPr="00D73C00" w:rsidRDefault="00544402" w:rsidP="009F2B9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Tel.</w:t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: </w:t>
      </w:r>
      <w:r w:rsidR="00FF5566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+420 735 793 656</w:t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424319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0263F5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Tel.</w:t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: </w:t>
      </w:r>
      <w:r w:rsidR="00FF5566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+ 420 724 255</w:t>
      </w:r>
      <w:r w:rsidR="00FF5566">
        <w:rPr>
          <w:rFonts w:ascii="Calibri" w:hAnsi="Calibri" w:cs="Calibri"/>
          <w:i/>
          <w:iCs/>
          <w:color w:val="000000" w:themeColor="text1"/>
          <w:sz w:val="18"/>
          <w:szCs w:val="18"/>
        </w:rPr>
        <w:t> </w:t>
      </w:r>
      <w:r w:rsidR="00FF5566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>715</w:t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</w:p>
    <w:p w14:paraId="1A39D771" w14:textId="40F0653E" w:rsidR="00CB4095" w:rsidRPr="00D73C00" w:rsidRDefault="00424319" w:rsidP="009F2B91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email: </w:t>
      </w:r>
      <w:hyperlink r:id="rId11" w:history="1">
        <w:r w:rsidR="00FF5566" w:rsidRPr="00D73C00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media@czg.cz</w:t>
        </w:r>
      </w:hyperlink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0263F5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email: </w:t>
      </w:r>
      <w:hyperlink r:id="rId12" w:history="1">
        <w:r w:rsidR="00FF5566" w:rsidRPr="00D73C00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sipova.klara@czg.cz</w:t>
        </w:r>
      </w:hyperlink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  <w:r w:rsidR="009F2B91" w:rsidRPr="00D73C00">
        <w:rPr>
          <w:rFonts w:ascii="Calibri" w:hAnsi="Calibri" w:cs="Calibri"/>
          <w:i/>
          <w:iCs/>
          <w:color w:val="000000" w:themeColor="text1"/>
          <w:sz w:val="18"/>
          <w:szCs w:val="18"/>
        </w:rPr>
        <w:tab/>
      </w:r>
    </w:p>
    <w:sectPr w:rsidR="00CB4095" w:rsidRPr="00D73C00" w:rsidSect="008547EC">
      <w:headerReference w:type="default" r:id="rId13"/>
      <w:footerReference w:type="default" r:id="rId14"/>
      <w:pgSz w:w="11900" w:h="16840"/>
      <w:pgMar w:top="226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FDB2" w14:textId="77777777" w:rsidR="00F546DD" w:rsidRDefault="00F546DD">
      <w:r>
        <w:separator/>
      </w:r>
    </w:p>
  </w:endnote>
  <w:endnote w:type="continuationSeparator" w:id="0">
    <w:p w14:paraId="1A99595A" w14:textId="77777777" w:rsidR="00F546DD" w:rsidRDefault="00F5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0DC" w14:textId="7E02335F" w:rsidR="00B541FE" w:rsidRDefault="00BD5FC2">
    <w:pPr>
      <w:pStyle w:val="Zpat"/>
      <w:tabs>
        <w:tab w:val="clear" w:pos="9072"/>
        <w:tab w:val="right" w:pos="9046"/>
      </w:tabs>
      <w:jc w:val="center"/>
    </w:pPr>
    <w:r w:rsidRPr="00721E36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9B511" wp14:editId="42C458EB">
              <wp:simplePos x="0" y="0"/>
              <wp:positionH relativeFrom="column">
                <wp:posOffset>-622300</wp:posOffset>
              </wp:positionH>
              <wp:positionV relativeFrom="paragraph">
                <wp:posOffset>100965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1532B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CZG - Česká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Opletalova 1284/37, 110 00 Prague 1, Czech Republic, IČ: 291 51 961</w:t>
                          </w:r>
                        </w:p>
                        <w:p w14:paraId="00A07EE7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B5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-49pt;margin-top:7.95pt;width:437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" filled="f" stroked="f" strokeweight=".5pt">
              <v:textbox>
                <w:txbxContent>
                  <w:p w14:paraId="51C1532B" w14:textId="77777777" w:rsidR="00BD5FC2" w:rsidRPr="00A61159" w:rsidRDefault="00BD5FC2" w:rsidP="00BD5FC2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proofErr w:type="gramStart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>CZG - Česká</w:t>
                    </w:r>
                    <w:proofErr w:type="gramEnd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Opletalova 1284/37, 110 00 Prague 1, Czech Republic, IČ: 291 51 961</w:t>
                    </w:r>
                  </w:p>
                  <w:p w14:paraId="00A07EE7" w14:textId="77777777" w:rsidR="00BD5FC2" w:rsidRPr="00A61159" w:rsidRDefault="00BD5FC2" w:rsidP="00BD5FC2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48A2" w14:textId="77777777" w:rsidR="00F546DD" w:rsidRDefault="00F546DD">
      <w:r>
        <w:separator/>
      </w:r>
    </w:p>
  </w:footnote>
  <w:footnote w:type="continuationSeparator" w:id="0">
    <w:p w14:paraId="48D0A23A" w14:textId="77777777" w:rsidR="00F546DD" w:rsidRDefault="00F546DD">
      <w:r>
        <w:continuationSeparator/>
      </w:r>
    </w:p>
  </w:footnote>
  <w:footnote w:id="1">
    <w:p w14:paraId="53A83C19" w14:textId="69A5C602" w:rsidR="00B82677" w:rsidRPr="00E6517D" w:rsidRDefault="00B82677">
      <w:pPr>
        <w:pStyle w:val="Textpoznpodarou"/>
        <w:rPr>
          <w:lang w:val="cs-CZ"/>
        </w:rPr>
      </w:pPr>
      <w:r w:rsidRPr="00E6517D">
        <w:rPr>
          <w:rStyle w:val="Znakapoznpodarou"/>
          <w:rFonts w:ascii="Calibri" w:hAnsi="Calibri" w:cs="Calibri"/>
          <w:sz w:val="14"/>
          <w:szCs w:val="14"/>
          <w:lang w:val="cs-CZ"/>
        </w:rPr>
        <w:footnoteRef/>
      </w:r>
      <w:r w:rsidRPr="00E6517D">
        <w:rPr>
          <w:rFonts w:ascii="Calibri" w:hAnsi="Calibri" w:cs="Calibri"/>
          <w:sz w:val="14"/>
          <w:szCs w:val="14"/>
          <w:lang w:val="cs-CZ"/>
        </w:rPr>
        <w:t xml:space="preserve"> </w:t>
      </w:r>
      <w:r w:rsidR="00A66764" w:rsidRPr="00E6517D">
        <w:rPr>
          <w:rFonts w:ascii="Calibri" w:hAnsi="Calibri" w:cs="Calibri"/>
          <w:sz w:val="14"/>
          <w:szCs w:val="14"/>
          <w:lang w:val="cs-CZ"/>
        </w:rPr>
        <w:t xml:space="preserve">EBITDA se vypočítává jako zisk po zdanění za sledované období, navýšený o daň z příjmu, snížený o ostatní finanční příjmy, navýšený o ostatní finanční náklady, snížený o příjmy z úroků, navýšený o úrokové náklady a </w:t>
      </w:r>
      <w:r w:rsidR="00E6517D" w:rsidRPr="00E6517D">
        <w:rPr>
          <w:rFonts w:ascii="Calibri" w:hAnsi="Calibri" w:cs="Calibri"/>
          <w:sz w:val="14"/>
          <w:szCs w:val="14"/>
          <w:lang w:val="cs-CZ"/>
        </w:rPr>
        <w:t>snížený o výnosy z derivátových operací a zvýšený o náklady z derivátových operací a navýšený o</w:t>
      </w:r>
      <w:r w:rsidR="00A66764" w:rsidRPr="00E6517D">
        <w:rPr>
          <w:rFonts w:ascii="Calibri" w:hAnsi="Calibri" w:cs="Calibri"/>
          <w:sz w:val="14"/>
          <w:szCs w:val="14"/>
          <w:lang w:val="cs-CZ"/>
        </w:rPr>
        <w:t xml:space="preserve"> odpisy a amortizac</w:t>
      </w:r>
      <w:r w:rsidR="00E6517D" w:rsidRPr="00E6517D">
        <w:rPr>
          <w:rFonts w:ascii="Calibri" w:hAnsi="Calibri" w:cs="Calibri"/>
          <w:sz w:val="14"/>
          <w:szCs w:val="14"/>
          <w:lang w:val="cs-CZ"/>
        </w:rPr>
        <w:t>i</w:t>
      </w:r>
      <w:r w:rsidR="00A66764" w:rsidRPr="00E6517D">
        <w:rPr>
          <w:rFonts w:ascii="Calibri" w:hAnsi="Calibri" w:cs="Calibri"/>
          <w:sz w:val="14"/>
          <w:szCs w:val="14"/>
          <w:lang w:val="cs-CZ"/>
        </w:rPr>
        <w:t>.</w:t>
      </w:r>
    </w:p>
  </w:footnote>
  <w:footnote w:id="2">
    <w:p w14:paraId="707A67D7" w14:textId="750BB784" w:rsidR="00A75543" w:rsidRPr="009C093C" w:rsidRDefault="00A75543" w:rsidP="00A75543">
      <w:pPr>
        <w:pStyle w:val="Textpoznpodarou"/>
        <w:rPr>
          <w:rFonts w:ascii="Calibri" w:hAnsi="Calibri" w:cs="Calibri"/>
          <w:lang w:val="cs-CZ"/>
        </w:rPr>
      </w:pPr>
      <w:r w:rsidRPr="009C093C">
        <w:rPr>
          <w:rStyle w:val="Znakapoznpodarou"/>
          <w:rFonts w:ascii="Calibri" w:hAnsi="Calibri" w:cs="Calibri"/>
          <w:sz w:val="14"/>
          <w:szCs w:val="14"/>
          <w:lang w:val="cs-CZ"/>
        </w:rPr>
        <w:footnoteRef/>
      </w:r>
      <w:r w:rsidRPr="009C093C">
        <w:rPr>
          <w:rFonts w:ascii="Calibri" w:hAnsi="Calibri" w:cs="Calibri"/>
          <w:sz w:val="14"/>
          <w:szCs w:val="14"/>
          <w:lang w:val="cs-CZ"/>
        </w:rPr>
        <w:t xml:space="preserve"> </w:t>
      </w:r>
      <w:r w:rsidR="00F96D9C" w:rsidRPr="00D639EE">
        <w:rPr>
          <w:rFonts w:ascii="Calibri" w:hAnsi="Calibri" w:cs="Calibri"/>
          <w:sz w:val="14"/>
          <w:szCs w:val="14"/>
          <w:lang w:val="cs-CZ"/>
        </w:rPr>
        <w:t xml:space="preserve">Management Skupiny považuje ukazatel EBITDA </w:t>
      </w:r>
      <w:r w:rsidR="00F96D9C">
        <w:rPr>
          <w:rFonts w:ascii="Calibri" w:hAnsi="Calibri" w:cs="Calibri"/>
          <w:sz w:val="14"/>
          <w:szCs w:val="14"/>
          <w:lang w:val="cs-CZ"/>
        </w:rPr>
        <w:t xml:space="preserve">za </w:t>
      </w:r>
      <w:r w:rsidR="00F96D9C" w:rsidRPr="00D639EE">
        <w:rPr>
          <w:rFonts w:ascii="Calibri" w:hAnsi="Calibri" w:cs="Calibri"/>
          <w:sz w:val="14"/>
          <w:szCs w:val="14"/>
          <w:lang w:val="cs-CZ"/>
        </w:rPr>
        <w:t xml:space="preserve">klíčový výkonnostní ukazatel hospodaření Skupiny. EBITDA se vypočítává </w:t>
      </w:r>
      <w:r w:rsidR="00E53944" w:rsidRPr="00E6517D">
        <w:rPr>
          <w:rFonts w:ascii="Calibri" w:hAnsi="Calibri" w:cs="Calibri"/>
          <w:sz w:val="14"/>
          <w:szCs w:val="14"/>
          <w:lang w:val="cs-CZ"/>
        </w:rPr>
        <w:t>jako zisk po zdanění za sledované období, navýšený o daň z příjmu, snížený o ostatní finanční příjmy, navýšený o ostatní finanční náklady, snížený o příjmy z úroků, navýšený o úrokové náklady a snížený o výnosy z derivátových operací a zvýšený o náklady z derivátových operací a navýšený o odpisy a amortizaci.</w:t>
      </w:r>
    </w:p>
  </w:footnote>
  <w:footnote w:id="3">
    <w:p w14:paraId="64F45A5B" w14:textId="1D3B8714" w:rsidR="00FE0694" w:rsidRDefault="00FE0694" w:rsidP="00FE0694">
      <w:pPr>
        <w:pStyle w:val="Textpoznpodarou"/>
        <w:rPr>
          <w:rFonts w:ascii="Calibri" w:hAnsi="Calibri" w:cs="Calibri"/>
          <w:sz w:val="14"/>
          <w:szCs w:val="14"/>
          <w:lang w:val="cs-CZ"/>
        </w:rPr>
      </w:pPr>
      <w:r w:rsidRPr="00BC19E7">
        <w:rPr>
          <w:rStyle w:val="Znakapoznpodarou"/>
          <w:rFonts w:ascii="Calibri" w:hAnsi="Calibri" w:cs="Calibri"/>
          <w:sz w:val="14"/>
          <w:szCs w:val="14"/>
        </w:rPr>
        <w:footnoteRef/>
      </w:r>
      <w:r w:rsidRPr="00BC19E7">
        <w:rPr>
          <w:rFonts w:ascii="Calibri" w:hAnsi="Calibri" w:cs="Calibri"/>
          <w:sz w:val="14"/>
          <w:szCs w:val="14"/>
          <w:lang w:val="cs-CZ"/>
        </w:rPr>
        <w:t xml:space="preserve"> </w:t>
      </w:r>
      <w:r w:rsidRPr="00FE0694">
        <w:rPr>
          <w:rFonts w:ascii="Calibri" w:hAnsi="Calibri" w:cs="Calibri"/>
          <w:sz w:val="14"/>
          <w:szCs w:val="14"/>
          <w:lang w:val="cs-CZ"/>
        </w:rPr>
        <w:t>Pro</w:t>
      </w:r>
      <w:r w:rsidRPr="005D2FF5">
        <w:rPr>
          <w:rFonts w:ascii="Calibri" w:hAnsi="Calibri" w:cs="Calibri"/>
          <w:sz w:val="14"/>
          <w:szCs w:val="14"/>
          <w:lang w:val="cs-CZ"/>
        </w:rPr>
        <w:t xml:space="preserve"> přepočet </w:t>
      </w:r>
      <w:r>
        <w:rPr>
          <w:rFonts w:ascii="Calibri" w:hAnsi="Calibri" w:cs="Calibri"/>
          <w:sz w:val="14"/>
          <w:szCs w:val="14"/>
          <w:lang w:val="cs-CZ"/>
        </w:rPr>
        <w:t xml:space="preserve">finančních výsledků skupiny Colt </w:t>
      </w:r>
      <w:r w:rsidR="00F52064" w:rsidRPr="005D2FF5">
        <w:rPr>
          <w:rFonts w:ascii="Calibri" w:hAnsi="Calibri" w:cs="Calibri"/>
          <w:sz w:val="14"/>
          <w:szCs w:val="14"/>
          <w:lang w:val="cs-CZ"/>
        </w:rPr>
        <w:t>denominovaných</w:t>
      </w:r>
      <w:r w:rsidR="00F52064">
        <w:rPr>
          <w:rFonts w:ascii="Calibri" w:hAnsi="Calibri" w:cs="Calibri"/>
          <w:sz w:val="14"/>
          <w:szCs w:val="14"/>
          <w:lang w:val="cs-CZ"/>
        </w:rPr>
        <w:t xml:space="preserve"> v USD </w:t>
      </w:r>
      <w:r>
        <w:rPr>
          <w:rFonts w:ascii="Calibri" w:hAnsi="Calibri" w:cs="Calibri"/>
          <w:sz w:val="14"/>
          <w:szCs w:val="14"/>
          <w:lang w:val="cs-CZ"/>
        </w:rPr>
        <w:t>za první čtvrtletí 2021</w:t>
      </w:r>
      <w:r w:rsidR="00344BB2" w:rsidRPr="00344BB2">
        <w:rPr>
          <w:rFonts w:ascii="Calibri" w:hAnsi="Calibri" w:cs="Calibri"/>
          <w:sz w:val="14"/>
          <w:szCs w:val="14"/>
          <w:lang w:val="cs-CZ"/>
        </w:rPr>
        <w:t xml:space="preserve"> </w:t>
      </w:r>
      <w:r w:rsidR="00344BB2">
        <w:rPr>
          <w:rFonts w:ascii="Calibri" w:hAnsi="Calibri" w:cs="Calibri"/>
          <w:sz w:val="14"/>
          <w:szCs w:val="14"/>
          <w:lang w:val="cs-CZ"/>
        </w:rPr>
        <w:t xml:space="preserve">byl použit kurz USD/Kč </w:t>
      </w:r>
      <w:bookmarkStart w:id="1" w:name="_Hlk72916027"/>
      <w:r w:rsidR="00344BB2">
        <w:rPr>
          <w:rFonts w:ascii="Calibri" w:hAnsi="Calibri" w:cs="Calibri"/>
          <w:sz w:val="14"/>
          <w:szCs w:val="14"/>
          <w:lang w:val="cs-CZ"/>
        </w:rPr>
        <w:t>22,295 dle fixingu ČNB k 31. 3. 2021</w:t>
      </w:r>
      <w:r w:rsidR="00C565EB">
        <w:rPr>
          <w:rFonts w:ascii="Calibri" w:hAnsi="Calibri" w:cs="Calibri"/>
          <w:sz w:val="14"/>
          <w:szCs w:val="14"/>
          <w:lang w:val="cs-CZ"/>
        </w:rPr>
        <w:t>.</w:t>
      </w:r>
      <w:bookmarkEnd w:id="1"/>
      <w:r w:rsidR="00D73C00">
        <w:rPr>
          <w:rFonts w:ascii="Calibri" w:hAnsi="Calibri" w:cs="Calibri"/>
          <w:sz w:val="14"/>
          <w:szCs w:val="14"/>
          <w:lang w:val="cs-CZ"/>
        </w:rPr>
        <w:t xml:space="preserve">Finanční výsledky Colt jsou </w:t>
      </w:r>
      <w:r w:rsidR="00382676">
        <w:rPr>
          <w:rFonts w:ascii="Calibri" w:hAnsi="Calibri" w:cs="Calibri"/>
          <w:sz w:val="14"/>
          <w:szCs w:val="14"/>
          <w:lang w:val="cs-CZ"/>
        </w:rPr>
        <w:t xml:space="preserve">neauditované a </w:t>
      </w:r>
      <w:r w:rsidR="00D73C00">
        <w:rPr>
          <w:rFonts w:ascii="Calibri" w:hAnsi="Calibri" w:cs="Calibri"/>
          <w:sz w:val="14"/>
          <w:szCs w:val="14"/>
          <w:lang w:val="cs-CZ"/>
        </w:rPr>
        <w:t xml:space="preserve">vykazovány </w:t>
      </w:r>
      <w:r w:rsidR="00382676">
        <w:rPr>
          <w:rFonts w:ascii="Calibri" w:hAnsi="Calibri" w:cs="Calibri"/>
          <w:sz w:val="14"/>
          <w:szCs w:val="14"/>
          <w:lang w:val="cs-CZ"/>
        </w:rPr>
        <w:t xml:space="preserve">dle pravidel </w:t>
      </w:r>
      <w:r w:rsidR="00D73C00">
        <w:rPr>
          <w:rFonts w:ascii="Calibri" w:hAnsi="Calibri" w:cs="Calibri"/>
          <w:sz w:val="14"/>
          <w:szCs w:val="14"/>
          <w:lang w:val="cs-CZ"/>
        </w:rPr>
        <w:t>US GAAP.</w:t>
      </w:r>
      <w:r>
        <w:rPr>
          <w:rFonts w:ascii="Calibri" w:hAnsi="Calibri" w:cs="Calibri"/>
          <w:sz w:val="14"/>
          <w:szCs w:val="14"/>
          <w:lang w:val="cs-CZ"/>
        </w:rPr>
        <w:t xml:space="preserve"> </w:t>
      </w:r>
      <w:r w:rsidR="00A14A1C">
        <w:rPr>
          <w:rFonts w:ascii="Calibri" w:hAnsi="Calibri" w:cs="Calibri"/>
          <w:sz w:val="14"/>
          <w:szCs w:val="14"/>
          <w:lang w:val="cs-CZ"/>
        </w:rPr>
        <w:t>– nutno přeložit do AJ</w:t>
      </w:r>
    </w:p>
    <w:p w14:paraId="1315422C" w14:textId="4A321D12" w:rsidR="00FE0694" w:rsidRPr="00BC19E7" w:rsidRDefault="00FE0694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E18" w14:textId="5E9E3386" w:rsidR="00B541FE" w:rsidRDefault="00BD5FC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62B85DA" wp14:editId="0BBBC615">
          <wp:simplePos x="0" y="0"/>
          <wp:positionH relativeFrom="page">
            <wp:align>right</wp:align>
          </wp:positionH>
          <wp:positionV relativeFrom="paragraph">
            <wp:posOffset>-440902</wp:posOffset>
          </wp:positionV>
          <wp:extent cx="7555609" cy="1067918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FE">
      <w:rPr>
        <w:noProof/>
      </w:rPr>
      <w:drawing>
        <wp:anchor distT="152400" distB="152400" distL="152400" distR="152400" simplePos="0" relativeHeight="251661312" behindDoc="1" locked="0" layoutInCell="1" allowOverlap="1" wp14:anchorId="16E13192" wp14:editId="7B92A499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34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4DF7393"/>
    <w:multiLevelType w:val="hybridMultilevel"/>
    <w:tmpl w:val="B5B4270C"/>
    <w:lvl w:ilvl="0" w:tplc="CCF8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E65E4"/>
    <w:multiLevelType w:val="hybridMultilevel"/>
    <w:tmpl w:val="58DA1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536A81"/>
    <w:multiLevelType w:val="multilevel"/>
    <w:tmpl w:val="D96ED21C"/>
    <w:name w:val="ClientDocText"/>
    <w:lvl w:ilvl="0">
      <w:start w:val="1"/>
      <w:numFmt w:val="none"/>
      <w:pStyle w:val="DocTe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DocTe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DocTe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DocTe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DocTe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DocTe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DocTe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DocTe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DocTe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2B4104E2"/>
    <w:multiLevelType w:val="hybridMultilevel"/>
    <w:tmpl w:val="D39ECDEC"/>
    <w:lvl w:ilvl="0" w:tplc="26C26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D3CF2"/>
    <w:multiLevelType w:val="hybridMultilevel"/>
    <w:tmpl w:val="8AAE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13FB"/>
    <w:multiLevelType w:val="hybridMultilevel"/>
    <w:tmpl w:val="605C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6B95"/>
    <w:multiLevelType w:val="hybridMultilevel"/>
    <w:tmpl w:val="F63E5718"/>
    <w:numStyleLink w:val="Importovanstyl2"/>
  </w:abstractNum>
  <w:abstractNum w:abstractNumId="19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453A"/>
    <w:multiLevelType w:val="hybridMultilevel"/>
    <w:tmpl w:val="6DB2BC56"/>
    <w:numStyleLink w:val="Importovanstyl1"/>
  </w:abstractNum>
  <w:abstractNum w:abstractNumId="24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23"/>
    <w:lvlOverride w:ilvl="0">
      <w:startOverride w:val="3"/>
    </w:lvlOverride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20"/>
  </w:num>
  <w:num w:numId="14">
    <w:abstractNumId w:val="16"/>
  </w:num>
  <w:num w:numId="15">
    <w:abstractNumId w:val="12"/>
  </w:num>
  <w:num w:numId="16">
    <w:abstractNumId w:val="17"/>
  </w:num>
  <w:num w:numId="17">
    <w:abstractNumId w:val="22"/>
  </w:num>
  <w:num w:numId="18">
    <w:abstractNumId w:val="24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10"/>
  </w:num>
  <w:num w:numId="24">
    <w:abstractNumId w:val="8"/>
  </w:num>
  <w:num w:numId="25">
    <w:abstractNumId w:val="5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42"/>
    <w:rsid w:val="0000033C"/>
    <w:rsid w:val="0000072B"/>
    <w:rsid w:val="00002312"/>
    <w:rsid w:val="00006F84"/>
    <w:rsid w:val="00011BC9"/>
    <w:rsid w:val="000121BD"/>
    <w:rsid w:val="000137C5"/>
    <w:rsid w:val="000145C2"/>
    <w:rsid w:val="00015D23"/>
    <w:rsid w:val="0002199B"/>
    <w:rsid w:val="00022236"/>
    <w:rsid w:val="00023287"/>
    <w:rsid w:val="000263F5"/>
    <w:rsid w:val="00033020"/>
    <w:rsid w:val="000366F8"/>
    <w:rsid w:val="00036AF6"/>
    <w:rsid w:val="00043A32"/>
    <w:rsid w:val="0004435C"/>
    <w:rsid w:val="000448C3"/>
    <w:rsid w:val="00053B1C"/>
    <w:rsid w:val="00062906"/>
    <w:rsid w:val="0007535B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3108"/>
    <w:rsid w:val="00093FB3"/>
    <w:rsid w:val="0009411E"/>
    <w:rsid w:val="000952CF"/>
    <w:rsid w:val="000A27C6"/>
    <w:rsid w:val="000B13E7"/>
    <w:rsid w:val="000B1A87"/>
    <w:rsid w:val="000B21AC"/>
    <w:rsid w:val="000B24A8"/>
    <w:rsid w:val="000C0981"/>
    <w:rsid w:val="000C2FD7"/>
    <w:rsid w:val="000C4FC8"/>
    <w:rsid w:val="000C5E76"/>
    <w:rsid w:val="000D25CD"/>
    <w:rsid w:val="000D43DB"/>
    <w:rsid w:val="000D7679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1DB3"/>
    <w:rsid w:val="001037CA"/>
    <w:rsid w:val="001053D9"/>
    <w:rsid w:val="00107B98"/>
    <w:rsid w:val="00107DD7"/>
    <w:rsid w:val="0011466E"/>
    <w:rsid w:val="00114B57"/>
    <w:rsid w:val="001162D9"/>
    <w:rsid w:val="00123F88"/>
    <w:rsid w:val="0012423E"/>
    <w:rsid w:val="001266D7"/>
    <w:rsid w:val="00130054"/>
    <w:rsid w:val="001338D4"/>
    <w:rsid w:val="0013496F"/>
    <w:rsid w:val="00143368"/>
    <w:rsid w:val="001445E8"/>
    <w:rsid w:val="00144662"/>
    <w:rsid w:val="001465DA"/>
    <w:rsid w:val="0014789A"/>
    <w:rsid w:val="00152161"/>
    <w:rsid w:val="001529C5"/>
    <w:rsid w:val="0015380F"/>
    <w:rsid w:val="00154180"/>
    <w:rsid w:val="001545D6"/>
    <w:rsid w:val="00154B2A"/>
    <w:rsid w:val="001563C4"/>
    <w:rsid w:val="00157A69"/>
    <w:rsid w:val="00160081"/>
    <w:rsid w:val="00166635"/>
    <w:rsid w:val="001667DE"/>
    <w:rsid w:val="001679A4"/>
    <w:rsid w:val="00173CFC"/>
    <w:rsid w:val="001805AD"/>
    <w:rsid w:val="001805ED"/>
    <w:rsid w:val="0018534A"/>
    <w:rsid w:val="001855E8"/>
    <w:rsid w:val="001864A6"/>
    <w:rsid w:val="00190412"/>
    <w:rsid w:val="0019321B"/>
    <w:rsid w:val="001956C5"/>
    <w:rsid w:val="001A1BA5"/>
    <w:rsid w:val="001B21D7"/>
    <w:rsid w:val="001B2B42"/>
    <w:rsid w:val="001B3E89"/>
    <w:rsid w:val="001B409D"/>
    <w:rsid w:val="001B4889"/>
    <w:rsid w:val="001B6380"/>
    <w:rsid w:val="001B76DA"/>
    <w:rsid w:val="001D5CE9"/>
    <w:rsid w:val="001E3DB4"/>
    <w:rsid w:val="001F2F7E"/>
    <w:rsid w:val="001F3024"/>
    <w:rsid w:val="001F32C6"/>
    <w:rsid w:val="001F5959"/>
    <w:rsid w:val="001F6EC0"/>
    <w:rsid w:val="001F7060"/>
    <w:rsid w:val="00201A5A"/>
    <w:rsid w:val="002031F9"/>
    <w:rsid w:val="002052D2"/>
    <w:rsid w:val="00205F0B"/>
    <w:rsid w:val="00210C64"/>
    <w:rsid w:val="0021469E"/>
    <w:rsid w:val="00215AC8"/>
    <w:rsid w:val="00226D51"/>
    <w:rsid w:val="0022733B"/>
    <w:rsid w:val="00230885"/>
    <w:rsid w:val="00230A6D"/>
    <w:rsid w:val="002322ED"/>
    <w:rsid w:val="00234C27"/>
    <w:rsid w:val="002356E7"/>
    <w:rsid w:val="00235C53"/>
    <w:rsid w:val="00236273"/>
    <w:rsid w:val="0023674D"/>
    <w:rsid w:val="00236CF3"/>
    <w:rsid w:val="002407E6"/>
    <w:rsid w:val="00243B18"/>
    <w:rsid w:val="00243B74"/>
    <w:rsid w:val="00245B7D"/>
    <w:rsid w:val="00245EF9"/>
    <w:rsid w:val="002630DB"/>
    <w:rsid w:val="00265157"/>
    <w:rsid w:val="00265227"/>
    <w:rsid w:val="0026547E"/>
    <w:rsid w:val="002669C7"/>
    <w:rsid w:val="00273B30"/>
    <w:rsid w:val="00275A82"/>
    <w:rsid w:val="00277152"/>
    <w:rsid w:val="00280D7C"/>
    <w:rsid w:val="00282247"/>
    <w:rsid w:val="00283187"/>
    <w:rsid w:val="00283EAA"/>
    <w:rsid w:val="00284597"/>
    <w:rsid w:val="00286E54"/>
    <w:rsid w:val="00296B1E"/>
    <w:rsid w:val="002A0E9F"/>
    <w:rsid w:val="002A2180"/>
    <w:rsid w:val="002A6D66"/>
    <w:rsid w:val="002A74E2"/>
    <w:rsid w:val="002B0F85"/>
    <w:rsid w:val="002B41B0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D7501"/>
    <w:rsid w:val="002D7846"/>
    <w:rsid w:val="002E3DD7"/>
    <w:rsid w:val="002E5ED2"/>
    <w:rsid w:val="002E687B"/>
    <w:rsid w:val="002E7C08"/>
    <w:rsid w:val="002F1246"/>
    <w:rsid w:val="002F1C2D"/>
    <w:rsid w:val="00305D8A"/>
    <w:rsid w:val="0031046B"/>
    <w:rsid w:val="00310727"/>
    <w:rsid w:val="00312755"/>
    <w:rsid w:val="003136A9"/>
    <w:rsid w:val="00313FCB"/>
    <w:rsid w:val="003157E9"/>
    <w:rsid w:val="003208CF"/>
    <w:rsid w:val="00325300"/>
    <w:rsid w:val="00325440"/>
    <w:rsid w:val="003274A1"/>
    <w:rsid w:val="00331CF0"/>
    <w:rsid w:val="003345B0"/>
    <w:rsid w:val="00335267"/>
    <w:rsid w:val="00335EA2"/>
    <w:rsid w:val="003376A9"/>
    <w:rsid w:val="00337A39"/>
    <w:rsid w:val="00344BB2"/>
    <w:rsid w:val="00344D60"/>
    <w:rsid w:val="00346412"/>
    <w:rsid w:val="00346BAD"/>
    <w:rsid w:val="00350A30"/>
    <w:rsid w:val="00360460"/>
    <w:rsid w:val="00361EFE"/>
    <w:rsid w:val="003717F4"/>
    <w:rsid w:val="00373A60"/>
    <w:rsid w:val="00374701"/>
    <w:rsid w:val="00381D4F"/>
    <w:rsid w:val="00382676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0B57"/>
    <w:rsid w:val="003B3823"/>
    <w:rsid w:val="003B4A06"/>
    <w:rsid w:val="003B5025"/>
    <w:rsid w:val="003B53D2"/>
    <w:rsid w:val="003B6A78"/>
    <w:rsid w:val="003C2140"/>
    <w:rsid w:val="003C3B50"/>
    <w:rsid w:val="003C693A"/>
    <w:rsid w:val="003D0DDD"/>
    <w:rsid w:val="003D1805"/>
    <w:rsid w:val="003D1F47"/>
    <w:rsid w:val="003D38C3"/>
    <w:rsid w:val="003D3A44"/>
    <w:rsid w:val="003D7359"/>
    <w:rsid w:val="003D7811"/>
    <w:rsid w:val="003D7BDD"/>
    <w:rsid w:val="003E110B"/>
    <w:rsid w:val="003E5C5F"/>
    <w:rsid w:val="003E6BD8"/>
    <w:rsid w:val="003E746A"/>
    <w:rsid w:val="003E75C1"/>
    <w:rsid w:val="003F1658"/>
    <w:rsid w:val="003F1965"/>
    <w:rsid w:val="003F3D43"/>
    <w:rsid w:val="003F4745"/>
    <w:rsid w:val="003F4A1B"/>
    <w:rsid w:val="00404841"/>
    <w:rsid w:val="0040514D"/>
    <w:rsid w:val="0040660A"/>
    <w:rsid w:val="0040789A"/>
    <w:rsid w:val="00414F9C"/>
    <w:rsid w:val="0041624C"/>
    <w:rsid w:val="0041754E"/>
    <w:rsid w:val="004212F9"/>
    <w:rsid w:val="00424319"/>
    <w:rsid w:val="00426F66"/>
    <w:rsid w:val="00437606"/>
    <w:rsid w:val="004377B6"/>
    <w:rsid w:val="0045211D"/>
    <w:rsid w:val="00452D75"/>
    <w:rsid w:val="004543A3"/>
    <w:rsid w:val="00456EE3"/>
    <w:rsid w:val="004573CE"/>
    <w:rsid w:val="00463702"/>
    <w:rsid w:val="00465761"/>
    <w:rsid w:val="00466951"/>
    <w:rsid w:val="004707AA"/>
    <w:rsid w:val="00474FCA"/>
    <w:rsid w:val="004772F9"/>
    <w:rsid w:val="00477DEC"/>
    <w:rsid w:val="00483D54"/>
    <w:rsid w:val="00484071"/>
    <w:rsid w:val="00485014"/>
    <w:rsid w:val="004900C7"/>
    <w:rsid w:val="00492BE6"/>
    <w:rsid w:val="004949ED"/>
    <w:rsid w:val="004959C1"/>
    <w:rsid w:val="00496496"/>
    <w:rsid w:val="004970B0"/>
    <w:rsid w:val="004978A3"/>
    <w:rsid w:val="004A55AB"/>
    <w:rsid w:val="004A64A6"/>
    <w:rsid w:val="004A6F32"/>
    <w:rsid w:val="004B05B1"/>
    <w:rsid w:val="004B2BD5"/>
    <w:rsid w:val="004C0BB6"/>
    <w:rsid w:val="004C1874"/>
    <w:rsid w:val="004C30EC"/>
    <w:rsid w:val="004C50C5"/>
    <w:rsid w:val="004C7BD2"/>
    <w:rsid w:val="004D075E"/>
    <w:rsid w:val="004D0CF0"/>
    <w:rsid w:val="004D21E1"/>
    <w:rsid w:val="004D45C7"/>
    <w:rsid w:val="004D5AC0"/>
    <w:rsid w:val="004D620A"/>
    <w:rsid w:val="004D6751"/>
    <w:rsid w:val="004D7AC3"/>
    <w:rsid w:val="004E304E"/>
    <w:rsid w:val="004E30DD"/>
    <w:rsid w:val="004E55BC"/>
    <w:rsid w:val="004E60E6"/>
    <w:rsid w:val="004F0E8C"/>
    <w:rsid w:val="004F1480"/>
    <w:rsid w:val="004F5E21"/>
    <w:rsid w:val="005010A0"/>
    <w:rsid w:val="00501BF3"/>
    <w:rsid w:val="005036EB"/>
    <w:rsid w:val="00506252"/>
    <w:rsid w:val="00514DD4"/>
    <w:rsid w:val="00514EFC"/>
    <w:rsid w:val="00516083"/>
    <w:rsid w:val="00520594"/>
    <w:rsid w:val="00521286"/>
    <w:rsid w:val="00522927"/>
    <w:rsid w:val="00523F56"/>
    <w:rsid w:val="00524829"/>
    <w:rsid w:val="00525E59"/>
    <w:rsid w:val="00527D92"/>
    <w:rsid w:val="00531CB3"/>
    <w:rsid w:val="00531FB7"/>
    <w:rsid w:val="005350C4"/>
    <w:rsid w:val="00535F7E"/>
    <w:rsid w:val="00537097"/>
    <w:rsid w:val="0054156C"/>
    <w:rsid w:val="005436BD"/>
    <w:rsid w:val="00544402"/>
    <w:rsid w:val="0055301D"/>
    <w:rsid w:val="00554101"/>
    <w:rsid w:val="00554ABB"/>
    <w:rsid w:val="0055504C"/>
    <w:rsid w:val="00555B24"/>
    <w:rsid w:val="00557BFC"/>
    <w:rsid w:val="005629DE"/>
    <w:rsid w:val="00562A3A"/>
    <w:rsid w:val="005630E8"/>
    <w:rsid w:val="00564F18"/>
    <w:rsid w:val="00565BE2"/>
    <w:rsid w:val="005663FA"/>
    <w:rsid w:val="00567E72"/>
    <w:rsid w:val="0057042A"/>
    <w:rsid w:val="005705E0"/>
    <w:rsid w:val="005762E1"/>
    <w:rsid w:val="00580550"/>
    <w:rsid w:val="00580E22"/>
    <w:rsid w:val="00581906"/>
    <w:rsid w:val="005827C7"/>
    <w:rsid w:val="00584AF1"/>
    <w:rsid w:val="005A0884"/>
    <w:rsid w:val="005A3A2E"/>
    <w:rsid w:val="005A4FD7"/>
    <w:rsid w:val="005A501D"/>
    <w:rsid w:val="005A777E"/>
    <w:rsid w:val="005B1018"/>
    <w:rsid w:val="005B336A"/>
    <w:rsid w:val="005B3CC4"/>
    <w:rsid w:val="005B53E2"/>
    <w:rsid w:val="005B5BE6"/>
    <w:rsid w:val="005C3EB8"/>
    <w:rsid w:val="005C54FA"/>
    <w:rsid w:val="005C59D9"/>
    <w:rsid w:val="005D077E"/>
    <w:rsid w:val="005D1C6B"/>
    <w:rsid w:val="005D3E2D"/>
    <w:rsid w:val="005D4AFD"/>
    <w:rsid w:val="005D568D"/>
    <w:rsid w:val="005D583F"/>
    <w:rsid w:val="005D586C"/>
    <w:rsid w:val="005E094E"/>
    <w:rsid w:val="005E51F6"/>
    <w:rsid w:val="005F03BF"/>
    <w:rsid w:val="005F3B00"/>
    <w:rsid w:val="006051EB"/>
    <w:rsid w:val="00607B14"/>
    <w:rsid w:val="00611CE1"/>
    <w:rsid w:val="00614621"/>
    <w:rsid w:val="00616A59"/>
    <w:rsid w:val="006243A3"/>
    <w:rsid w:val="00626F7E"/>
    <w:rsid w:val="00626F85"/>
    <w:rsid w:val="00630143"/>
    <w:rsid w:val="00631A42"/>
    <w:rsid w:val="00635E5C"/>
    <w:rsid w:val="006360E8"/>
    <w:rsid w:val="00636FFC"/>
    <w:rsid w:val="0065282C"/>
    <w:rsid w:val="006540B4"/>
    <w:rsid w:val="0065430A"/>
    <w:rsid w:val="0065560B"/>
    <w:rsid w:val="00656404"/>
    <w:rsid w:val="0065762D"/>
    <w:rsid w:val="00660EF7"/>
    <w:rsid w:val="0066168C"/>
    <w:rsid w:val="0066271B"/>
    <w:rsid w:val="006657F8"/>
    <w:rsid w:val="00670BB7"/>
    <w:rsid w:val="00671428"/>
    <w:rsid w:val="00680A38"/>
    <w:rsid w:val="0068171A"/>
    <w:rsid w:val="006836F3"/>
    <w:rsid w:val="00684B27"/>
    <w:rsid w:val="006A14DC"/>
    <w:rsid w:val="006A40B9"/>
    <w:rsid w:val="006A5412"/>
    <w:rsid w:val="006A5842"/>
    <w:rsid w:val="006B22C3"/>
    <w:rsid w:val="006B31A4"/>
    <w:rsid w:val="006C4FF6"/>
    <w:rsid w:val="006C5294"/>
    <w:rsid w:val="006D3F5A"/>
    <w:rsid w:val="006D5E52"/>
    <w:rsid w:val="006D7610"/>
    <w:rsid w:val="006E07B1"/>
    <w:rsid w:val="006E0EDC"/>
    <w:rsid w:val="006E679F"/>
    <w:rsid w:val="006F2ADD"/>
    <w:rsid w:val="006F38BB"/>
    <w:rsid w:val="006F49B4"/>
    <w:rsid w:val="00704B37"/>
    <w:rsid w:val="0070650A"/>
    <w:rsid w:val="007105E6"/>
    <w:rsid w:val="00710653"/>
    <w:rsid w:val="00716680"/>
    <w:rsid w:val="0071721B"/>
    <w:rsid w:val="00724A68"/>
    <w:rsid w:val="00724EAE"/>
    <w:rsid w:val="00730EBD"/>
    <w:rsid w:val="00733BEA"/>
    <w:rsid w:val="0073704D"/>
    <w:rsid w:val="007373AD"/>
    <w:rsid w:val="007433DB"/>
    <w:rsid w:val="00744DD0"/>
    <w:rsid w:val="0074642D"/>
    <w:rsid w:val="00746C55"/>
    <w:rsid w:val="00752DC4"/>
    <w:rsid w:val="007554CD"/>
    <w:rsid w:val="007568C9"/>
    <w:rsid w:val="007621A1"/>
    <w:rsid w:val="00763DC5"/>
    <w:rsid w:val="00764E2E"/>
    <w:rsid w:val="007670D9"/>
    <w:rsid w:val="00770356"/>
    <w:rsid w:val="00771AAF"/>
    <w:rsid w:val="0077585F"/>
    <w:rsid w:val="00776085"/>
    <w:rsid w:val="00776D66"/>
    <w:rsid w:val="00782FC1"/>
    <w:rsid w:val="00790B7D"/>
    <w:rsid w:val="0079518A"/>
    <w:rsid w:val="007A4459"/>
    <w:rsid w:val="007A58D4"/>
    <w:rsid w:val="007A6CDD"/>
    <w:rsid w:val="007A7F42"/>
    <w:rsid w:val="007B63FA"/>
    <w:rsid w:val="007B6ABB"/>
    <w:rsid w:val="007C0BEE"/>
    <w:rsid w:val="007C26CE"/>
    <w:rsid w:val="007C3807"/>
    <w:rsid w:val="007D2B05"/>
    <w:rsid w:val="007D3EDD"/>
    <w:rsid w:val="007E2BF3"/>
    <w:rsid w:val="007E394E"/>
    <w:rsid w:val="007E5401"/>
    <w:rsid w:val="007E7F05"/>
    <w:rsid w:val="007F7634"/>
    <w:rsid w:val="008006F1"/>
    <w:rsid w:val="008043CA"/>
    <w:rsid w:val="00804CC6"/>
    <w:rsid w:val="00806EEE"/>
    <w:rsid w:val="00812C8C"/>
    <w:rsid w:val="00820657"/>
    <w:rsid w:val="00821B0E"/>
    <w:rsid w:val="008229F4"/>
    <w:rsid w:val="00832780"/>
    <w:rsid w:val="008328E7"/>
    <w:rsid w:val="00833714"/>
    <w:rsid w:val="008355A0"/>
    <w:rsid w:val="0083575E"/>
    <w:rsid w:val="008359D9"/>
    <w:rsid w:val="00841E63"/>
    <w:rsid w:val="00841E84"/>
    <w:rsid w:val="00842B15"/>
    <w:rsid w:val="008432DA"/>
    <w:rsid w:val="00843432"/>
    <w:rsid w:val="0084533D"/>
    <w:rsid w:val="00846048"/>
    <w:rsid w:val="00847925"/>
    <w:rsid w:val="008547EC"/>
    <w:rsid w:val="00860737"/>
    <w:rsid w:val="00861D5A"/>
    <w:rsid w:val="0086342C"/>
    <w:rsid w:val="008640CC"/>
    <w:rsid w:val="0087024A"/>
    <w:rsid w:val="00873AF5"/>
    <w:rsid w:val="00874C94"/>
    <w:rsid w:val="00877B11"/>
    <w:rsid w:val="00877ED6"/>
    <w:rsid w:val="00880709"/>
    <w:rsid w:val="00884B03"/>
    <w:rsid w:val="0089220A"/>
    <w:rsid w:val="00897CFB"/>
    <w:rsid w:val="008A0170"/>
    <w:rsid w:val="008A31EC"/>
    <w:rsid w:val="008A4CA5"/>
    <w:rsid w:val="008A642E"/>
    <w:rsid w:val="008B2AE0"/>
    <w:rsid w:val="008B426C"/>
    <w:rsid w:val="008B65D9"/>
    <w:rsid w:val="008C0D3C"/>
    <w:rsid w:val="008C7A43"/>
    <w:rsid w:val="008D1A38"/>
    <w:rsid w:val="008D2C30"/>
    <w:rsid w:val="008D6ABE"/>
    <w:rsid w:val="008F293E"/>
    <w:rsid w:val="008F398E"/>
    <w:rsid w:val="008F4015"/>
    <w:rsid w:val="008F4B21"/>
    <w:rsid w:val="008F63D4"/>
    <w:rsid w:val="009025E9"/>
    <w:rsid w:val="00903103"/>
    <w:rsid w:val="00903354"/>
    <w:rsid w:val="009051FC"/>
    <w:rsid w:val="0091138C"/>
    <w:rsid w:val="009125F4"/>
    <w:rsid w:val="00913052"/>
    <w:rsid w:val="00913752"/>
    <w:rsid w:val="00914E1F"/>
    <w:rsid w:val="00915065"/>
    <w:rsid w:val="00915875"/>
    <w:rsid w:val="00915DF1"/>
    <w:rsid w:val="00920273"/>
    <w:rsid w:val="0092110E"/>
    <w:rsid w:val="00921A3B"/>
    <w:rsid w:val="00923A2F"/>
    <w:rsid w:val="00923D36"/>
    <w:rsid w:val="00924F2D"/>
    <w:rsid w:val="00927D1C"/>
    <w:rsid w:val="009307EC"/>
    <w:rsid w:val="00933A3E"/>
    <w:rsid w:val="009342AC"/>
    <w:rsid w:val="00936093"/>
    <w:rsid w:val="00937CA8"/>
    <w:rsid w:val="00941AEE"/>
    <w:rsid w:val="00952871"/>
    <w:rsid w:val="00952A67"/>
    <w:rsid w:val="00955D6F"/>
    <w:rsid w:val="009573A7"/>
    <w:rsid w:val="009613C0"/>
    <w:rsid w:val="00962E5F"/>
    <w:rsid w:val="00963D40"/>
    <w:rsid w:val="00964C6A"/>
    <w:rsid w:val="00965EB1"/>
    <w:rsid w:val="009671A0"/>
    <w:rsid w:val="009707CF"/>
    <w:rsid w:val="009758F1"/>
    <w:rsid w:val="009769FD"/>
    <w:rsid w:val="009808CC"/>
    <w:rsid w:val="009905B5"/>
    <w:rsid w:val="00991E29"/>
    <w:rsid w:val="00993994"/>
    <w:rsid w:val="0099663C"/>
    <w:rsid w:val="009968BA"/>
    <w:rsid w:val="009A64B5"/>
    <w:rsid w:val="009B06C3"/>
    <w:rsid w:val="009B10FD"/>
    <w:rsid w:val="009B320B"/>
    <w:rsid w:val="009B4CC1"/>
    <w:rsid w:val="009B711E"/>
    <w:rsid w:val="009C093C"/>
    <w:rsid w:val="009C2F8D"/>
    <w:rsid w:val="009D0305"/>
    <w:rsid w:val="009D0AEC"/>
    <w:rsid w:val="009D4F11"/>
    <w:rsid w:val="009E195C"/>
    <w:rsid w:val="009E23AD"/>
    <w:rsid w:val="009E2575"/>
    <w:rsid w:val="009E3AE0"/>
    <w:rsid w:val="009F2B91"/>
    <w:rsid w:val="009F6620"/>
    <w:rsid w:val="009F66ED"/>
    <w:rsid w:val="00A05283"/>
    <w:rsid w:val="00A059D0"/>
    <w:rsid w:val="00A141D3"/>
    <w:rsid w:val="00A14A1C"/>
    <w:rsid w:val="00A17A96"/>
    <w:rsid w:val="00A22574"/>
    <w:rsid w:val="00A22FB7"/>
    <w:rsid w:val="00A230F6"/>
    <w:rsid w:val="00A2378E"/>
    <w:rsid w:val="00A239AD"/>
    <w:rsid w:val="00A24A3D"/>
    <w:rsid w:val="00A2515D"/>
    <w:rsid w:val="00A25BAA"/>
    <w:rsid w:val="00A25BF9"/>
    <w:rsid w:val="00A261FD"/>
    <w:rsid w:val="00A26F3E"/>
    <w:rsid w:val="00A271DB"/>
    <w:rsid w:val="00A308C7"/>
    <w:rsid w:val="00A32E32"/>
    <w:rsid w:val="00A33D93"/>
    <w:rsid w:val="00A344E2"/>
    <w:rsid w:val="00A40EB0"/>
    <w:rsid w:val="00A41B38"/>
    <w:rsid w:val="00A4385F"/>
    <w:rsid w:val="00A63A7D"/>
    <w:rsid w:val="00A646D6"/>
    <w:rsid w:val="00A66764"/>
    <w:rsid w:val="00A7239E"/>
    <w:rsid w:val="00A72816"/>
    <w:rsid w:val="00A72E1E"/>
    <w:rsid w:val="00A75543"/>
    <w:rsid w:val="00A7558A"/>
    <w:rsid w:val="00A756EC"/>
    <w:rsid w:val="00A76F9A"/>
    <w:rsid w:val="00A80342"/>
    <w:rsid w:val="00A85A5A"/>
    <w:rsid w:val="00A860CC"/>
    <w:rsid w:val="00A867D7"/>
    <w:rsid w:val="00A86AFF"/>
    <w:rsid w:val="00A8771A"/>
    <w:rsid w:val="00A9630A"/>
    <w:rsid w:val="00AA046D"/>
    <w:rsid w:val="00AA0FDA"/>
    <w:rsid w:val="00AA39B3"/>
    <w:rsid w:val="00AB3049"/>
    <w:rsid w:val="00AB39EA"/>
    <w:rsid w:val="00AB3C79"/>
    <w:rsid w:val="00AB6D42"/>
    <w:rsid w:val="00AB73DB"/>
    <w:rsid w:val="00AC1418"/>
    <w:rsid w:val="00AC3D2D"/>
    <w:rsid w:val="00AC4ADE"/>
    <w:rsid w:val="00AC6BC1"/>
    <w:rsid w:val="00AD7EE9"/>
    <w:rsid w:val="00AE192D"/>
    <w:rsid w:val="00AE2946"/>
    <w:rsid w:val="00AE4574"/>
    <w:rsid w:val="00AF04BD"/>
    <w:rsid w:val="00AF0691"/>
    <w:rsid w:val="00AF33CF"/>
    <w:rsid w:val="00AF409F"/>
    <w:rsid w:val="00AF4E8C"/>
    <w:rsid w:val="00AF59F7"/>
    <w:rsid w:val="00B015E9"/>
    <w:rsid w:val="00B06728"/>
    <w:rsid w:val="00B077A5"/>
    <w:rsid w:val="00B11874"/>
    <w:rsid w:val="00B12A34"/>
    <w:rsid w:val="00B13BA2"/>
    <w:rsid w:val="00B13EC9"/>
    <w:rsid w:val="00B148E0"/>
    <w:rsid w:val="00B24D0C"/>
    <w:rsid w:val="00B31632"/>
    <w:rsid w:val="00B32F3D"/>
    <w:rsid w:val="00B33A44"/>
    <w:rsid w:val="00B34FBC"/>
    <w:rsid w:val="00B357EB"/>
    <w:rsid w:val="00B359CA"/>
    <w:rsid w:val="00B37ADE"/>
    <w:rsid w:val="00B40446"/>
    <w:rsid w:val="00B44178"/>
    <w:rsid w:val="00B50C29"/>
    <w:rsid w:val="00B51C90"/>
    <w:rsid w:val="00B541FE"/>
    <w:rsid w:val="00B54B9E"/>
    <w:rsid w:val="00B55120"/>
    <w:rsid w:val="00B55519"/>
    <w:rsid w:val="00B65457"/>
    <w:rsid w:val="00B676B8"/>
    <w:rsid w:val="00B741B9"/>
    <w:rsid w:val="00B747BE"/>
    <w:rsid w:val="00B82677"/>
    <w:rsid w:val="00B86B07"/>
    <w:rsid w:val="00B91585"/>
    <w:rsid w:val="00B92C08"/>
    <w:rsid w:val="00B96AD5"/>
    <w:rsid w:val="00BA3604"/>
    <w:rsid w:val="00BA3911"/>
    <w:rsid w:val="00BA5B32"/>
    <w:rsid w:val="00BA6343"/>
    <w:rsid w:val="00BB03E3"/>
    <w:rsid w:val="00BB6B39"/>
    <w:rsid w:val="00BC19E7"/>
    <w:rsid w:val="00BC28F4"/>
    <w:rsid w:val="00BC32FB"/>
    <w:rsid w:val="00BD1CBE"/>
    <w:rsid w:val="00BD2736"/>
    <w:rsid w:val="00BD5F80"/>
    <w:rsid w:val="00BD5FC2"/>
    <w:rsid w:val="00BD660E"/>
    <w:rsid w:val="00BE1CBA"/>
    <w:rsid w:val="00BE390A"/>
    <w:rsid w:val="00BE3B07"/>
    <w:rsid w:val="00BE6196"/>
    <w:rsid w:val="00BE7863"/>
    <w:rsid w:val="00BF34F0"/>
    <w:rsid w:val="00BF77CC"/>
    <w:rsid w:val="00C027D7"/>
    <w:rsid w:val="00C1036C"/>
    <w:rsid w:val="00C14FE5"/>
    <w:rsid w:val="00C17D75"/>
    <w:rsid w:val="00C21598"/>
    <w:rsid w:val="00C21AB4"/>
    <w:rsid w:val="00C22CEA"/>
    <w:rsid w:val="00C23546"/>
    <w:rsid w:val="00C240FB"/>
    <w:rsid w:val="00C256F8"/>
    <w:rsid w:val="00C312DC"/>
    <w:rsid w:val="00C315CB"/>
    <w:rsid w:val="00C33672"/>
    <w:rsid w:val="00C40A62"/>
    <w:rsid w:val="00C419A5"/>
    <w:rsid w:val="00C43379"/>
    <w:rsid w:val="00C45443"/>
    <w:rsid w:val="00C47C19"/>
    <w:rsid w:val="00C52BF2"/>
    <w:rsid w:val="00C565EB"/>
    <w:rsid w:val="00C5669E"/>
    <w:rsid w:val="00C57455"/>
    <w:rsid w:val="00C577DC"/>
    <w:rsid w:val="00C63670"/>
    <w:rsid w:val="00C63723"/>
    <w:rsid w:val="00C65C3B"/>
    <w:rsid w:val="00C77A95"/>
    <w:rsid w:val="00C801A6"/>
    <w:rsid w:val="00C801E6"/>
    <w:rsid w:val="00C80332"/>
    <w:rsid w:val="00C81784"/>
    <w:rsid w:val="00C82017"/>
    <w:rsid w:val="00CA089B"/>
    <w:rsid w:val="00CA74C8"/>
    <w:rsid w:val="00CB07B1"/>
    <w:rsid w:val="00CB1334"/>
    <w:rsid w:val="00CB4095"/>
    <w:rsid w:val="00CB5DF9"/>
    <w:rsid w:val="00CC59FC"/>
    <w:rsid w:val="00CD11DF"/>
    <w:rsid w:val="00CD2434"/>
    <w:rsid w:val="00CD36F9"/>
    <w:rsid w:val="00CD7E7C"/>
    <w:rsid w:val="00CE2335"/>
    <w:rsid w:val="00CE6F8B"/>
    <w:rsid w:val="00CE7855"/>
    <w:rsid w:val="00CF29F8"/>
    <w:rsid w:val="00CF5DED"/>
    <w:rsid w:val="00CF7096"/>
    <w:rsid w:val="00D05B90"/>
    <w:rsid w:val="00D0671A"/>
    <w:rsid w:val="00D07C4A"/>
    <w:rsid w:val="00D12129"/>
    <w:rsid w:val="00D12C87"/>
    <w:rsid w:val="00D132A3"/>
    <w:rsid w:val="00D13D79"/>
    <w:rsid w:val="00D15D86"/>
    <w:rsid w:val="00D167C2"/>
    <w:rsid w:val="00D16880"/>
    <w:rsid w:val="00D20BAB"/>
    <w:rsid w:val="00D2390E"/>
    <w:rsid w:val="00D244B0"/>
    <w:rsid w:val="00D258EC"/>
    <w:rsid w:val="00D2648A"/>
    <w:rsid w:val="00D277AE"/>
    <w:rsid w:val="00D27E07"/>
    <w:rsid w:val="00D346C3"/>
    <w:rsid w:val="00D34A87"/>
    <w:rsid w:val="00D36E9E"/>
    <w:rsid w:val="00D463E7"/>
    <w:rsid w:val="00D5018D"/>
    <w:rsid w:val="00D5069F"/>
    <w:rsid w:val="00D5121A"/>
    <w:rsid w:val="00D5238E"/>
    <w:rsid w:val="00D5240E"/>
    <w:rsid w:val="00D53930"/>
    <w:rsid w:val="00D559B1"/>
    <w:rsid w:val="00D56134"/>
    <w:rsid w:val="00D56C9E"/>
    <w:rsid w:val="00D6370C"/>
    <w:rsid w:val="00D66EA3"/>
    <w:rsid w:val="00D70D54"/>
    <w:rsid w:val="00D71F9B"/>
    <w:rsid w:val="00D73607"/>
    <w:rsid w:val="00D73C00"/>
    <w:rsid w:val="00D81C9D"/>
    <w:rsid w:val="00D82233"/>
    <w:rsid w:val="00D86EED"/>
    <w:rsid w:val="00D9091A"/>
    <w:rsid w:val="00D94689"/>
    <w:rsid w:val="00D94FA9"/>
    <w:rsid w:val="00DA18BB"/>
    <w:rsid w:val="00DA1A33"/>
    <w:rsid w:val="00DA6402"/>
    <w:rsid w:val="00DA67B7"/>
    <w:rsid w:val="00DA68BE"/>
    <w:rsid w:val="00DB15FD"/>
    <w:rsid w:val="00DB3104"/>
    <w:rsid w:val="00DC0C64"/>
    <w:rsid w:val="00DC116A"/>
    <w:rsid w:val="00DC3165"/>
    <w:rsid w:val="00DD38BA"/>
    <w:rsid w:val="00DD4B9A"/>
    <w:rsid w:val="00DD4EA2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E58"/>
    <w:rsid w:val="00E023E6"/>
    <w:rsid w:val="00E0328F"/>
    <w:rsid w:val="00E1012B"/>
    <w:rsid w:val="00E13004"/>
    <w:rsid w:val="00E163B7"/>
    <w:rsid w:val="00E210A2"/>
    <w:rsid w:val="00E23DD2"/>
    <w:rsid w:val="00E23E61"/>
    <w:rsid w:val="00E2668B"/>
    <w:rsid w:val="00E27321"/>
    <w:rsid w:val="00E31A56"/>
    <w:rsid w:val="00E3685A"/>
    <w:rsid w:val="00E50A83"/>
    <w:rsid w:val="00E53944"/>
    <w:rsid w:val="00E53A2F"/>
    <w:rsid w:val="00E56A43"/>
    <w:rsid w:val="00E57ADA"/>
    <w:rsid w:val="00E6078D"/>
    <w:rsid w:val="00E61B2B"/>
    <w:rsid w:val="00E62B2C"/>
    <w:rsid w:val="00E632D5"/>
    <w:rsid w:val="00E6517D"/>
    <w:rsid w:val="00E6786C"/>
    <w:rsid w:val="00E7167E"/>
    <w:rsid w:val="00E754B1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A794A"/>
    <w:rsid w:val="00EB6AD7"/>
    <w:rsid w:val="00EC08CE"/>
    <w:rsid w:val="00EC3570"/>
    <w:rsid w:val="00EC5301"/>
    <w:rsid w:val="00EC5C76"/>
    <w:rsid w:val="00EC6D18"/>
    <w:rsid w:val="00ED0F3C"/>
    <w:rsid w:val="00ED19BF"/>
    <w:rsid w:val="00EE1284"/>
    <w:rsid w:val="00EE384A"/>
    <w:rsid w:val="00EE6EAB"/>
    <w:rsid w:val="00EF32E5"/>
    <w:rsid w:val="00EF4012"/>
    <w:rsid w:val="00F00032"/>
    <w:rsid w:val="00F02EB2"/>
    <w:rsid w:val="00F075ED"/>
    <w:rsid w:val="00F15183"/>
    <w:rsid w:val="00F15C67"/>
    <w:rsid w:val="00F161E8"/>
    <w:rsid w:val="00F22920"/>
    <w:rsid w:val="00F22CBB"/>
    <w:rsid w:val="00F24F61"/>
    <w:rsid w:val="00F30DE4"/>
    <w:rsid w:val="00F32253"/>
    <w:rsid w:val="00F32B36"/>
    <w:rsid w:val="00F36A97"/>
    <w:rsid w:val="00F45E5B"/>
    <w:rsid w:val="00F50207"/>
    <w:rsid w:val="00F52064"/>
    <w:rsid w:val="00F546DD"/>
    <w:rsid w:val="00F5517B"/>
    <w:rsid w:val="00F55501"/>
    <w:rsid w:val="00F60A52"/>
    <w:rsid w:val="00F64047"/>
    <w:rsid w:val="00F64172"/>
    <w:rsid w:val="00F6564F"/>
    <w:rsid w:val="00F66D44"/>
    <w:rsid w:val="00F67BE4"/>
    <w:rsid w:val="00F72D86"/>
    <w:rsid w:val="00F754A4"/>
    <w:rsid w:val="00F75DF7"/>
    <w:rsid w:val="00F81EDC"/>
    <w:rsid w:val="00F9090A"/>
    <w:rsid w:val="00F91178"/>
    <w:rsid w:val="00F96D9C"/>
    <w:rsid w:val="00FA1945"/>
    <w:rsid w:val="00FA49D3"/>
    <w:rsid w:val="00FA7E98"/>
    <w:rsid w:val="00FB09EA"/>
    <w:rsid w:val="00FB0E85"/>
    <w:rsid w:val="00FB1D2F"/>
    <w:rsid w:val="00FB43EB"/>
    <w:rsid w:val="00FB7039"/>
    <w:rsid w:val="00FC1373"/>
    <w:rsid w:val="00FD0513"/>
    <w:rsid w:val="00FD06EB"/>
    <w:rsid w:val="00FD41B7"/>
    <w:rsid w:val="00FD5F46"/>
    <w:rsid w:val="00FD7A5A"/>
    <w:rsid w:val="00FE0694"/>
    <w:rsid w:val="00FE0711"/>
    <w:rsid w:val="00FE0E91"/>
    <w:rsid w:val="00FE114D"/>
    <w:rsid w:val="00FE1879"/>
    <w:rsid w:val="00FE39D0"/>
    <w:rsid w:val="00FE3B74"/>
    <w:rsid w:val="00FE4AB6"/>
    <w:rsid w:val="00FE5835"/>
    <w:rsid w:val="00FE58EC"/>
    <w:rsid w:val="00FF1026"/>
    <w:rsid w:val="00FF556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1BE"/>
  <w15:docId w15:val="{187E0CAA-B9A5-4BAE-94FD-8392B8D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TW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uiPriority w:val="34"/>
    <w:qFormat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7A7F42"/>
    <w:rPr>
      <w:color w:val="800080"/>
      <w:spacing w:val="0"/>
    </w:rPr>
  </w:style>
  <w:style w:type="paragraph" w:customStyle="1" w:styleId="DocText">
    <w:name w:val="DocText"/>
    <w:basedOn w:val="Normln"/>
    <w:rsid w:val="007A7F42"/>
    <w:pPr>
      <w:numPr>
        <w:numId w:val="24"/>
      </w:numPr>
      <w:spacing w:before="240" w:line="260" w:lineRule="atLeast"/>
      <w:jc w:val="both"/>
    </w:pPr>
    <w:rPr>
      <w:rFonts w:eastAsiaTheme="minorHAnsi"/>
      <w:sz w:val="20"/>
      <w:szCs w:val="22"/>
      <w:lang w:val="en-GB" w:eastAsia="en-US"/>
    </w:rPr>
  </w:style>
  <w:style w:type="paragraph" w:customStyle="1" w:styleId="DocTextL1">
    <w:name w:val="DocTextL1"/>
    <w:basedOn w:val="DocText"/>
    <w:rsid w:val="007A7F42"/>
    <w:pPr>
      <w:numPr>
        <w:ilvl w:val="1"/>
      </w:numPr>
    </w:pPr>
  </w:style>
  <w:style w:type="paragraph" w:customStyle="1" w:styleId="DocTextL2">
    <w:name w:val="DocTextL2"/>
    <w:basedOn w:val="DocText"/>
    <w:rsid w:val="007A7F42"/>
    <w:pPr>
      <w:numPr>
        <w:ilvl w:val="2"/>
      </w:numPr>
    </w:pPr>
  </w:style>
  <w:style w:type="paragraph" w:customStyle="1" w:styleId="DocTextL3">
    <w:name w:val="DocTextL3"/>
    <w:basedOn w:val="DocText"/>
    <w:rsid w:val="007A7F42"/>
    <w:pPr>
      <w:numPr>
        <w:ilvl w:val="3"/>
      </w:numPr>
    </w:pPr>
  </w:style>
  <w:style w:type="paragraph" w:customStyle="1" w:styleId="DocTextL4">
    <w:name w:val="DocTextL4"/>
    <w:basedOn w:val="DocText"/>
    <w:rsid w:val="007A7F42"/>
    <w:pPr>
      <w:numPr>
        <w:ilvl w:val="4"/>
      </w:numPr>
    </w:pPr>
  </w:style>
  <w:style w:type="paragraph" w:customStyle="1" w:styleId="DocTextL5">
    <w:name w:val="DocTextL5"/>
    <w:basedOn w:val="DocText"/>
    <w:rsid w:val="007A7F42"/>
    <w:pPr>
      <w:numPr>
        <w:ilvl w:val="5"/>
      </w:numPr>
    </w:pPr>
  </w:style>
  <w:style w:type="paragraph" w:customStyle="1" w:styleId="DocTextL6">
    <w:name w:val="DocTextL6"/>
    <w:basedOn w:val="DocText"/>
    <w:rsid w:val="007A7F42"/>
    <w:pPr>
      <w:numPr>
        <w:ilvl w:val="6"/>
      </w:numPr>
    </w:pPr>
  </w:style>
  <w:style w:type="paragraph" w:customStyle="1" w:styleId="DocTextL7">
    <w:name w:val="DocTextL7"/>
    <w:basedOn w:val="DocText"/>
    <w:rsid w:val="007A7F42"/>
    <w:pPr>
      <w:numPr>
        <w:ilvl w:val="7"/>
      </w:numPr>
    </w:pPr>
  </w:style>
  <w:style w:type="paragraph" w:customStyle="1" w:styleId="DocTextL8">
    <w:name w:val="DocTextL8"/>
    <w:basedOn w:val="DocText"/>
    <w:rsid w:val="007A7F42"/>
    <w:pPr>
      <w:numPr>
        <w:ilvl w:val="8"/>
      </w:numPr>
    </w:pPr>
  </w:style>
  <w:style w:type="table" w:styleId="Mkatabulky">
    <w:name w:val="Table Grid"/>
    <w:basedOn w:val="Normlntabulka"/>
    <w:uiPriority w:val="39"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entNormal">
    <w:name w:val="ClientNormal"/>
    <w:link w:val="ClientNormalChar"/>
    <w:rsid w:val="00660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Cs w:val="22"/>
      <w:bdr w:val="none" w:sz="0" w:space="0" w:color="auto"/>
      <w:lang w:val="en-GB" w:eastAsia="en-US"/>
    </w:rPr>
  </w:style>
  <w:style w:type="character" w:customStyle="1" w:styleId="ClientNormalChar">
    <w:name w:val="ClientNormal Char"/>
    <w:basedOn w:val="Standardnpsmoodstavce"/>
    <w:link w:val="ClientNormal"/>
    <w:rsid w:val="00660EF7"/>
    <w:rPr>
      <w:rFonts w:eastAsiaTheme="minorHAnsi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ova.klara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B906A-5C4D-48D2-8CBA-B570ACC90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1</TotalTime>
  <Pages>4</Pages>
  <Words>1402</Words>
  <Characters>8276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Kristýna Pavlačková</cp:lastModifiedBy>
  <cp:revision>2</cp:revision>
  <cp:lastPrinted>2021-05-25T16:56:00Z</cp:lastPrinted>
  <dcterms:created xsi:type="dcterms:W3CDTF">2021-11-22T14:21:00Z</dcterms:created>
  <dcterms:modified xsi:type="dcterms:W3CDTF">2021-11-22T14:21:00Z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